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E59" w:rsidRPr="003D06C9" w:rsidRDefault="001B36D9" w:rsidP="001B36D9">
      <w:pPr>
        <w:rPr>
          <w:b/>
          <w:bCs/>
        </w:rPr>
      </w:pPr>
      <w:r w:rsidRPr="001B36D9">
        <w:rPr>
          <w:rFonts w:ascii="Times New Roman" w:eastAsia="DengXian" w:hAnsi="Times New Roman" w:cs="Times New Roman"/>
          <w:b/>
          <w:lang w:val="en-GB" w:eastAsia="zh-CN"/>
        </w:rPr>
        <w:t xml:space="preserve">Supplementary material </w:t>
      </w:r>
      <w:r>
        <w:rPr>
          <w:rFonts w:ascii="Times New Roman" w:eastAsia="DengXian" w:hAnsi="Times New Roman" w:cs="Times New Roman"/>
          <w:b/>
          <w:lang w:val="en-GB" w:eastAsia="zh-CN"/>
        </w:rPr>
        <w:t>3</w:t>
      </w:r>
      <w:r w:rsidRPr="001B36D9">
        <w:rPr>
          <w:rFonts w:ascii="Times New Roman" w:eastAsia="DengXian" w:hAnsi="Times New Roman" w:cs="Times New Roman"/>
          <w:b/>
          <w:lang w:val="en-GB" w:eastAsia="zh-CN"/>
        </w:rPr>
        <w:t>.</w:t>
      </w:r>
      <w:r>
        <w:rPr>
          <w:rFonts w:ascii="Times New Roman" w:eastAsia="DengXian" w:hAnsi="Times New Roman" w:cs="Times New Roman"/>
          <w:b/>
          <w:lang w:val="en-GB" w:eastAsia="zh-CN"/>
        </w:rPr>
        <w:t xml:space="preserve"> </w:t>
      </w:r>
      <w:bookmarkStart w:id="0" w:name="_GoBack"/>
      <w:bookmarkEnd w:id="0"/>
      <w:r w:rsidR="00FC3948" w:rsidRPr="003D06C9">
        <w:rPr>
          <w:b/>
          <w:bCs/>
        </w:rPr>
        <w:t>A summary of the quality of the domains examined on the basis of a checklist COSMIN for oral health assessment tools.</w:t>
      </w:r>
    </w:p>
    <w:tbl>
      <w:tblPr>
        <w:tblStyle w:val="TableGrid"/>
        <w:tblpPr w:leftFromText="180" w:rightFromText="180" w:vertAnchor="text" w:horzAnchor="page" w:tblpX="316" w:tblpY="152"/>
        <w:tblW w:w="5813" w:type="pct"/>
        <w:tblLook w:val="04A0" w:firstRow="1" w:lastRow="0" w:firstColumn="1" w:lastColumn="0" w:noHBand="0" w:noVBand="1"/>
      </w:tblPr>
      <w:tblGrid>
        <w:gridCol w:w="3167"/>
        <w:gridCol w:w="2249"/>
        <w:gridCol w:w="9902"/>
      </w:tblGrid>
      <w:tr w:rsidR="00082E94" w:rsidRPr="00D3067E" w:rsidTr="00082E94">
        <w:trPr>
          <w:cantSplit/>
          <w:trHeight w:val="1073"/>
        </w:trPr>
        <w:tc>
          <w:tcPr>
            <w:tcW w:w="1034" w:type="pct"/>
            <w:vMerge w:val="restart"/>
            <w:shd w:val="clear" w:color="auto" w:fill="D9D9D9" w:themeFill="background1" w:themeFillShade="D9"/>
            <w:textDirection w:val="btLr"/>
            <w:vAlign w:val="center"/>
          </w:tcPr>
          <w:p w:rsidR="00082E94" w:rsidRPr="00D3067E" w:rsidRDefault="00082E94" w:rsidP="00054199">
            <w:pPr>
              <w:bidi/>
              <w:spacing w:before="240" w:line="240" w:lineRule="atLeast"/>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t>Author</w:t>
            </w:r>
          </w:p>
        </w:tc>
        <w:tc>
          <w:tcPr>
            <w:tcW w:w="734" w:type="pct"/>
            <w:vMerge w:val="restart"/>
            <w:shd w:val="clear" w:color="auto" w:fill="D9D9D9" w:themeFill="background1" w:themeFillShade="D9"/>
            <w:vAlign w:val="center"/>
          </w:tcPr>
          <w:p w:rsidR="00082E94" w:rsidRPr="00D3067E" w:rsidRDefault="00082E94" w:rsidP="00054199">
            <w:pPr>
              <w:bidi/>
              <w:spacing w:before="240" w:line="240" w:lineRule="atLeast"/>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232" w:type="pct"/>
            <w:vMerge w:val="restart"/>
            <w:shd w:val="clear" w:color="auto" w:fill="D9D9D9" w:themeFill="background1" w:themeFillShade="D9"/>
            <w:vAlign w:val="center"/>
          </w:tcPr>
          <w:p w:rsidR="00082E94" w:rsidRPr="00D3067E" w:rsidRDefault="00082E94" w:rsidP="00054199">
            <w:pPr>
              <w:spacing w:before="240" w:line="240" w:lineRule="atLeast"/>
              <w:jc w:val="center"/>
              <w:rPr>
                <w:rFonts w:ascii="Palatino Linotype" w:hAnsi="Palatino Linotype" w:cstheme="majorBidi"/>
                <w:bCs/>
                <w:sz w:val="16"/>
                <w:szCs w:val="16"/>
              </w:rPr>
            </w:pPr>
            <w:r w:rsidRPr="00D3067E">
              <w:rPr>
                <w:rFonts w:ascii="Palatino Linotype" w:hAnsi="Palatino Linotype" w:cstheme="majorBidi"/>
                <w:b/>
                <w:bCs/>
                <w:sz w:val="16"/>
                <w:szCs w:val="16"/>
              </w:rPr>
              <w:t>Content validity</w:t>
            </w:r>
          </w:p>
        </w:tc>
      </w:tr>
      <w:tr w:rsidR="00082E94" w:rsidRPr="00D3067E" w:rsidTr="00054199">
        <w:trPr>
          <w:cantSplit/>
          <w:trHeight w:val="480"/>
        </w:trPr>
        <w:tc>
          <w:tcPr>
            <w:tcW w:w="1034" w:type="pct"/>
            <w:vMerge/>
            <w:shd w:val="clear" w:color="auto" w:fill="D9D9D9" w:themeFill="background1" w:themeFillShade="D9"/>
            <w:textDirection w:val="btLr"/>
            <w:vAlign w:val="center"/>
          </w:tcPr>
          <w:p w:rsidR="00082E94" w:rsidRPr="00D3067E" w:rsidRDefault="00082E94" w:rsidP="00054199">
            <w:pPr>
              <w:bidi/>
              <w:spacing w:before="240" w:line="240" w:lineRule="atLeast"/>
              <w:ind w:left="113" w:right="113"/>
              <w:jc w:val="center"/>
              <w:rPr>
                <w:rFonts w:ascii="Palatino Linotype" w:hAnsi="Palatino Linotype" w:cstheme="majorBidi"/>
                <w:bCs/>
                <w:sz w:val="16"/>
                <w:szCs w:val="16"/>
              </w:rPr>
            </w:pPr>
          </w:p>
        </w:tc>
        <w:tc>
          <w:tcPr>
            <w:tcW w:w="734" w:type="pct"/>
            <w:vMerge/>
            <w:shd w:val="clear" w:color="auto" w:fill="D9D9D9" w:themeFill="background1" w:themeFillShade="D9"/>
            <w:vAlign w:val="center"/>
          </w:tcPr>
          <w:p w:rsidR="00082E94" w:rsidRPr="00D3067E" w:rsidRDefault="00082E94" w:rsidP="00054199">
            <w:pPr>
              <w:bidi/>
              <w:spacing w:before="240" w:line="240" w:lineRule="atLeast"/>
              <w:jc w:val="center"/>
              <w:rPr>
                <w:rFonts w:ascii="Palatino Linotype" w:hAnsi="Palatino Linotype" w:cstheme="majorBidi"/>
                <w:bCs/>
                <w:sz w:val="16"/>
                <w:szCs w:val="16"/>
              </w:rPr>
            </w:pPr>
          </w:p>
        </w:tc>
        <w:tc>
          <w:tcPr>
            <w:tcW w:w="3232" w:type="pct"/>
            <w:vMerge/>
            <w:shd w:val="clear" w:color="auto" w:fill="D9D9D9" w:themeFill="background1" w:themeFillShade="D9"/>
            <w:vAlign w:val="center"/>
          </w:tcPr>
          <w:p w:rsidR="00082E94" w:rsidRPr="00D3067E" w:rsidRDefault="00082E94" w:rsidP="00054199">
            <w:pPr>
              <w:spacing w:before="240" w:line="240" w:lineRule="atLeast"/>
              <w:jc w:val="center"/>
              <w:rPr>
                <w:rFonts w:ascii="Palatino Linotype" w:hAnsi="Palatino Linotype" w:cstheme="majorBidi"/>
                <w:b/>
                <w:bCs/>
                <w:sz w:val="16"/>
                <w:szCs w:val="16"/>
              </w:rPr>
            </w:pPr>
          </w:p>
        </w:tc>
      </w:tr>
      <w:tr w:rsidR="00155B5F" w:rsidRPr="00D3067E" w:rsidTr="00155B5F">
        <w:trPr>
          <w:trHeight w:val="887"/>
        </w:trPr>
        <w:tc>
          <w:tcPr>
            <w:tcW w:w="1034" w:type="pct"/>
            <w:vAlign w:val="center"/>
          </w:tcPr>
          <w:p w:rsidR="00155B5F" w:rsidRPr="00D46370" w:rsidRDefault="00155B5F" w:rsidP="00054199">
            <w:pPr>
              <w:spacing w:line="240" w:lineRule="atLeast"/>
              <w:jc w:val="center"/>
              <w:rPr>
                <w:color w:val="000000"/>
              </w:rPr>
            </w:pPr>
            <w:r w:rsidRPr="00D46370">
              <w:rPr>
                <w:color w:val="000000"/>
              </w:rPr>
              <w:t>Richman et al(2007)</w:t>
            </w:r>
          </w:p>
        </w:tc>
        <w:tc>
          <w:tcPr>
            <w:tcW w:w="734" w:type="pct"/>
            <w:vAlign w:val="center"/>
          </w:tcPr>
          <w:p w:rsidR="00155B5F" w:rsidRPr="00D3067E" w:rsidRDefault="00155B5F" w:rsidP="00054199">
            <w:pPr>
              <w:bidi/>
              <w:spacing w:before="240" w:line="240" w:lineRule="atLeast"/>
              <w:jc w:val="center"/>
              <w:rPr>
                <w:rFonts w:ascii="Palatino Linotype" w:hAnsi="Palatino Linotype" w:cstheme="majorBidi"/>
                <w:bCs/>
                <w:color w:val="000000"/>
                <w:sz w:val="16"/>
                <w:szCs w:val="16"/>
              </w:rPr>
            </w:pPr>
            <w:r w:rsidRPr="00D3067E">
              <w:rPr>
                <w:sz w:val="16"/>
                <w:szCs w:val="16"/>
              </w:rPr>
              <w:t>REALD-99</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All words were taken from the American Dental Association's Glossary of Common Dental Terminology. Words or terms were also included from patient brochures and written materials provided at the University of North Carolina at Chapel Hill (UNC-CH) School of Dentistry</w:t>
            </w:r>
          </w:p>
        </w:tc>
      </w:tr>
      <w:tr w:rsidR="00155B5F" w:rsidRPr="00D3067E" w:rsidTr="00082E94">
        <w:trPr>
          <w:trHeight w:val="944"/>
        </w:trPr>
        <w:tc>
          <w:tcPr>
            <w:tcW w:w="1034" w:type="pct"/>
            <w:vAlign w:val="center"/>
          </w:tcPr>
          <w:p w:rsidR="00155B5F" w:rsidRPr="00D46370" w:rsidRDefault="00155B5F" w:rsidP="00054199">
            <w:pPr>
              <w:spacing w:line="240" w:lineRule="atLeast"/>
              <w:jc w:val="center"/>
              <w:rPr>
                <w:color w:val="000000"/>
              </w:rPr>
            </w:pPr>
            <w:r w:rsidRPr="00D46370">
              <w:rPr>
                <w:color w:val="000000"/>
              </w:rPr>
              <w:t>Lee et al(2007)</w:t>
            </w:r>
          </w:p>
        </w:tc>
        <w:tc>
          <w:tcPr>
            <w:tcW w:w="734" w:type="pct"/>
            <w:vAlign w:val="center"/>
          </w:tcPr>
          <w:p w:rsidR="00155B5F" w:rsidRPr="00D3067E" w:rsidRDefault="00155B5F" w:rsidP="00054199">
            <w:pPr>
              <w:bidi/>
              <w:spacing w:before="240" w:line="240" w:lineRule="atLeast"/>
              <w:jc w:val="center"/>
              <w:rPr>
                <w:bCs/>
                <w:sz w:val="16"/>
                <w:szCs w:val="16"/>
              </w:rPr>
            </w:pPr>
            <w:r w:rsidRPr="00D3067E">
              <w:rPr>
                <w:sz w:val="16"/>
                <w:szCs w:val="16"/>
              </w:rPr>
              <w:t>REALD-30</w:t>
            </w:r>
          </w:p>
        </w:tc>
        <w:tc>
          <w:tcPr>
            <w:tcW w:w="3232" w:type="pct"/>
            <w:vAlign w:val="center"/>
          </w:tcPr>
          <w:p w:rsidR="00155B5F" w:rsidRPr="00004F86" w:rsidRDefault="00747DFD" w:rsidP="00747DFD">
            <w:pPr>
              <w:spacing w:before="240" w:line="240" w:lineRule="atLeast"/>
              <w:jc w:val="center"/>
              <w:rPr>
                <w:sz w:val="16"/>
                <w:szCs w:val="16"/>
              </w:rPr>
            </w:pPr>
            <w:r w:rsidRPr="00747DFD">
              <w:rPr>
                <w:sz w:val="16"/>
                <w:szCs w:val="16"/>
              </w:rPr>
              <w:t>This investigation is based on an item response theory analysis.</w:t>
            </w:r>
          </w:p>
        </w:tc>
      </w:tr>
      <w:tr w:rsidR="00155B5F" w:rsidRPr="00D3067E" w:rsidTr="00155B5F">
        <w:trPr>
          <w:trHeight w:val="1103"/>
        </w:trPr>
        <w:tc>
          <w:tcPr>
            <w:tcW w:w="1034" w:type="pct"/>
            <w:vAlign w:val="center"/>
          </w:tcPr>
          <w:p w:rsidR="00155B5F" w:rsidRPr="00D46370" w:rsidRDefault="00155B5F" w:rsidP="00054199">
            <w:pPr>
              <w:spacing w:line="240" w:lineRule="atLeast"/>
              <w:jc w:val="center"/>
              <w:rPr>
                <w:color w:val="000000"/>
              </w:rPr>
            </w:pPr>
            <w:r w:rsidRPr="00D46370">
              <w:rPr>
                <w:color w:val="000000"/>
              </w:rPr>
              <w:t>Gong et al.(2007)</w:t>
            </w:r>
          </w:p>
        </w:tc>
        <w:tc>
          <w:tcPr>
            <w:tcW w:w="734" w:type="pct"/>
            <w:vAlign w:val="center"/>
          </w:tcPr>
          <w:p w:rsidR="00155B5F" w:rsidRPr="00D3067E" w:rsidRDefault="00155B5F" w:rsidP="00054199">
            <w:pPr>
              <w:bidi/>
              <w:spacing w:before="240" w:line="240" w:lineRule="atLeast"/>
              <w:jc w:val="center"/>
              <w:rPr>
                <w:bCs/>
                <w:sz w:val="16"/>
                <w:szCs w:val="16"/>
              </w:rPr>
            </w:pPr>
            <w:proofErr w:type="spellStart"/>
            <w:r w:rsidRPr="00D3067E">
              <w:rPr>
                <w:sz w:val="16"/>
                <w:szCs w:val="16"/>
              </w:rPr>
              <w:t>ToFHLiD</w:t>
            </w:r>
            <w:proofErr w:type="spellEnd"/>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A panel of pediatric and public health dentists reviewed patient education and instructional materials used in the UNC-Chapel Hill pediatric dental clinic and </w:t>
            </w:r>
            <w:r w:rsidR="00372C1D" w:rsidRPr="00D3067E">
              <w:rPr>
                <w:sz w:val="16"/>
                <w:szCs w:val="16"/>
              </w:rPr>
              <w:t>selected</w:t>
            </w:r>
            <w:r w:rsidRPr="00D3067E">
              <w:rPr>
                <w:sz w:val="16"/>
                <w:szCs w:val="16"/>
              </w:rPr>
              <w:t xml:space="preserve"> a sample from these materials to use in the </w:t>
            </w:r>
            <w:proofErr w:type="spellStart"/>
            <w:r w:rsidRPr="00D3067E">
              <w:rPr>
                <w:sz w:val="16"/>
                <w:szCs w:val="16"/>
              </w:rPr>
              <w:t>TOFHLiD</w:t>
            </w:r>
            <w:proofErr w:type="spellEnd"/>
            <w:r w:rsidRPr="00D3067E">
              <w:rPr>
                <w:sz w:val="16"/>
                <w:szCs w:val="16"/>
              </w:rPr>
              <w:t>.</w:t>
            </w:r>
          </w:p>
        </w:tc>
      </w:tr>
      <w:tr w:rsidR="00155B5F" w:rsidRPr="00D3067E" w:rsidTr="00155B5F">
        <w:trPr>
          <w:trHeight w:val="1247"/>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OHLI</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For the generation of items, different dental patient educational materials and text types were reviewed. These included pamphlets, brochures and on-line materials, preoperative and postoperative instructions for different dental procedures, labels and instructions for commonly prescribed drugs in dentistry, and patient registration and appointment forms. The materials and texts, and the activities associated with them, were drawn from various dental health related contexts and had reading levels similar to materials used for the Test of Functional Health Literacy of Adults (TOFHLA), on which the Oral Health Literacy Instrument (OHLI) was modelled.</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CMOHK</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As a final check of face and content validity, a group of 15 practicing dentists in Maryland were asked to comment on the multiple-choice items. Their input was used for final editing. No additional pilot-testing was conducted</w:t>
            </w:r>
            <w:r w:rsidRPr="00D3067E">
              <w:rPr>
                <w:sz w:val="16"/>
                <w:szCs w:val="16"/>
                <w:rtl/>
              </w:rPr>
              <w:t>.</w:t>
            </w:r>
          </w:p>
        </w:tc>
      </w:tr>
      <w:tr w:rsidR="00155B5F" w:rsidRPr="00D3067E" w:rsidTr="00155B5F">
        <w:trPr>
          <w:trHeight w:val="1250"/>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HKREALD-30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A panel consisting of pediatric and public health dentists reviewed patient education and instructional materials used in the UNC-CH pediatric dental clinic and selected a sample from these materials for use in </w:t>
            </w:r>
            <w:proofErr w:type="spellStart"/>
            <w:r w:rsidRPr="00D3067E">
              <w:rPr>
                <w:sz w:val="16"/>
                <w:szCs w:val="16"/>
              </w:rPr>
              <w:t>TOFHLiD</w:t>
            </w:r>
            <w:proofErr w:type="spellEnd"/>
            <w:r w:rsidRPr="00D3067E">
              <w:rPr>
                <w:sz w:val="16"/>
                <w:szCs w:val="16"/>
              </w:rPr>
              <w:t>.</w:t>
            </w:r>
          </w:p>
          <w:p w:rsidR="00155B5F" w:rsidRPr="00D3067E" w:rsidRDefault="00155B5F" w:rsidP="00054199">
            <w:pPr>
              <w:spacing w:before="240" w:line="240" w:lineRule="atLeast"/>
              <w:jc w:val="center"/>
              <w:rPr>
                <w:sz w:val="16"/>
                <w:szCs w:val="16"/>
              </w:rPr>
            </w:pP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lastRenderedPageBreak/>
              <w:t>Lee et al.(2012)</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OHLA-S</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An expert panel was formed to develop the OHLA instrument through a Delphi process. The panel consisted of nine members (six females and three males): three bilingual native Spanish-speaking dentists, three bilingual laypeople; and three who were not bilingual, but had extensive experience working with Spanish speakers in educational dental settings, and included two dentists and one sociologist who was also an expert in health literacy. To reflect our target population, the bilingual dentists and laypeople on the panel were of Mexican and Central American descent or had extensive experience working with these populations</w:t>
            </w:r>
            <w:r w:rsidRPr="00D3067E">
              <w:rPr>
                <w:sz w:val="16"/>
                <w:szCs w:val="16"/>
                <w:rtl/>
              </w:rPr>
              <w:t>.</w:t>
            </w:r>
          </w:p>
        </w:tc>
      </w:tr>
      <w:tr w:rsidR="00155B5F" w:rsidRPr="00D3067E" w:rsidTr="00E4538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734" w:type="pct"/>
            <w:vAlign w:val="center"/>
          </w:tcPr>
          <w:p w:rsidR="00155B5F" w:rsidRPr="00D3067E" w:rsidRDefault="00155B5F" w:rsidP="00E45384">
            <w:pPr>
              <w:bidi/>
              <w:spacing w:before="240" w:line="240" w:lineRule="atLeast"/>
              <w:jc w:val="center"/>
              <w:rPr>
                <w:bCs/>
                <w:color w:val="000000"/>
                <w:sz w:val="16"/>
                <w:szCs w:val="16"/>
              </w:rPr>
            </w:pPr>
            <w:r w:rsidRPr="00D3067E">
              <w:rPr>
                <w:sz w:val="16"/>
                <w:szCs w:val="16"/>
              </w:rPr>
              <w:t>REALMD-20</w:t>
            </w:r>
          </w:p>
        </w:tc>
        <w:tc>
          <w:tcPr>
            <w:tcW w:w="3232" w:type="pct"/>
            <w:vAlign w:val="center"/>
          </w:tcPr>
          <w:p w:rsidR="00155B5F" w:rsidRPr="00D3067E" w:rsidRDefault="00372C1D" w:rsidP="00054199">
            <w:pPr>
              <w:spacing w:before="240" w:line="240" w:lineRule="atLeast"/>
              <w:jc w:val="center"/>
              <w:rPr>
                <w:sz w:val="16"/>
                <w:szCs w:val="16"/>
              </w:rPr>
            </w:pPr>
            <w:r>
              <w:rPr>
                <w:sz w:val="16"/>
                <w:szCs w:val="16"/>
              </w:rPr>
              <w:t>U</w:t>
            </w:r>
            <w:r w:rsidRPr="007C6A9A">
              <w:rPr>
                <w:sz w:val="16"/>
                <w:szCs w:val="16"/>
              </w:rPr>
              <w:t>nknown</w:t>
            </w:r>
          </w:p>
        </w:tc>
      </w:tr>
      <w:tr w:rsidR="00155B5F" w:rsidRPr="00D3067E" w:rsidTr="00155B5F">
        <w:trPr>
          <w:trHeight w:val="1385"/>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(2013)</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HKOHLAT-P</w:t>
            </w:r>
          </w:p>
        </w:tc>
        <w:tc>
          <w:tcPr>
            <w:tcW w:w="3232" w:type="pct"/>
            <w:vAlign w:val="center"/>
          </w:tcPr>
          <w:p w:rsidR="00155B5F" w:rsidRPr="00D3067E" w:rsidRDefault="00787495" w:rsidP="00054199">
            <w:pPr>
              <w:spacing w:before="240" w:line="240" w:lineRule="atLeast"/>
              <w:jc w:val="center"/>
              <w:rPr>
                <w:sz w:val="16"/>
                <w:szCs w:val="16"/>
              </w:rPr>
            </w:pPr>
            <w:r>
              <w:rPr>
                <w:sz w:val="16"/>
                <w:szCs w:val="16"/>
              </w:rPr>
              <w:t>f</w:t>
            </w:r>
            <w:r w:rsidR="00155B5F" w:rsidRPr="00D3067E">
              <w:rPr>
                <w:sz w:val="16"/>
                <w:szCs w:val="16"/>
              </w:rPr>
              <w:t xml:space="preserve">or the generation of items and to develop the HKOHLAT-P, the materials were collected from different dentally related areas, which includes oral health TV and radio programs from Hong Kong local broadcasts, oral health education videos and oral health instructions in Prince Philip Dental Hospital (Faculty of Dentistry, The University of Hong Kong), oral health brochures from the Department of Health (Oral Health Education Unit) in Hong Kong Special Administrative Region, and Hong Kong local newspapers. These materials were then used to develop a Chinese corpus database in dentistry. The materials and texts and the activities associated with them were drawn from various dental health-related contexts and were selected to have reading levels similar to materials used for </w:t>
            </w:r>
            <w:proofErr w:type="spellStart"/>
            <w:r w:rsidR="00155B5F" w:rsidRPr="00D3067E">
              <w:rPr>
                <w:sz w:val="16"/>
                <w:szCs w:val="16"/>
              </w:rPr>
              <w:t>TOFHLiD</w:t>
            </w:r>
            <w:proofErr w:type="spellEnd"/>
            <w:r w:rsidR="00155B5F" w:rsidRPr="00D3067E">
              <w:rPr>
                <w:sz w:val="16"/>
                <w:szCs w:val="16"/>
              </w:rPr>
              <w:t xml:space="preserve"> and OHLI, from which we modelled some of the items for the HKOHLAT-P. Original items were developed to expand the text types of reading stimuli and give variety in item design.</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Jones et al.(2013)</w:t>
            </w:r>
          </w:p>
        </w:tc>
        <w:tc>
          <w:tcPr>
            <w:tcW w:w="734" w:type="pct"/>
            <w:vAlign w:val="center"/>
          </w:tcPr>
          <w:p w:rsidR="00155B5F" w:rsidRPr="00D3067E" w:rsidRDefault="00155B5F" w:rsidP="00054199">
            <w:pPr>
              <w:bidi/>
              <w:spacing w:before="240" w:line="240" w:lineRule="atLeast"/>
              <w:jc w:val="center"/>
              <w:rPr>
                <w:bCs/>
                <w:color w:val="000000"/>
                <w:sz w:val="16"/>
                <w:szCs w:val="16"/>
              </w:rPr>
            </w:pPr>
            <w:proofErr w:type="spellStart"/>
            <w:r w:rsidRPr="00D3067E">
              <w:rPr>
                <w:sz w:val="16"/>
                <w:szCs w:val="16"/>
              </w:rPr>
              <w:t>HeLD</w:t>
            </w:r>
            <w:proofErr w:type="spellEnd"/>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 xml:space="preserve">The </w:t>
            </w:r>
            <w:proofErr w:type="spellStart"/>
            <w:r w:rsidRPr="00D3067E">
              <w:rPr>
                <w:sz w:val="16"/>
                <w:szCs w:val="16"/>
              </w:rPr>
              <w:t>HeLD</w:t>
            </w:r>
            <w:proofErr w:type="spellEnd"/>
            <w:r w:rsidRPr="00D3067E">
              <w:rPr>
                <w:sz w:val="16"/>
                <w:szCs w:val="16"/>
              </w:rPr>
              <w:t xml:space="preserve"> was modelled after the Health Literacy Measurement Scale (</w:t>
            </w:r>
            <w:proofErr w:type="spellStart"/>
            <w:r w:rsidRPr="00D3067E">
              <w:rPr>
                <w:sz w:val="16"/>
                <w:szCs w:val="16"/>
              </w:rPr>
              <w:t>HeLMS</w:t>
            </w:r>
            <w:proofErr w:type="spellEnd"/>
            <w:r w:rsidRPr="00D3067E">
              <w:rPr>
                <w:sz w:val="16"/>
                <w:szCs w:val="16"/>
              </w:rPr>
              <w:t xml:space="preserve">). Theoretical constructs and items of the </w:t>
            </w:r>
            <w:proofErr w:type="spellStart"/>
            <w:r w:rsidRPr="00D3067E">
              <w:rPr>
                <w:sz w:val="16"/>
                <w:szCs w:val="16"/>
              </w:rPr>
              <w:t>HeLMS</w:t>
            </w:r>
            <w:proofErr w:type="spellEnd"/>
            <w:r w:rsidRPr="00D3067E">
              <w:rPr>
                <w:sz w:val="16"/>
                <w:szCs w:val="16"/>
              </w:rPr>
              <w:t xml:space="preserve"> were adapted for use in an oral health context with the guidance of oral health experts.</w:t>
            </w:r>
          </w:p>
        </w:tc>
      </w:tr>
      <w:tr w:rsidR="00155B5F" w:rsidRPr="00D3067E" w:rsidTr="00155B5F">
        <w:trPr>
          <w:trHeight w:val="512"/>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TS-REALD</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This investigation is based on an item response theory analysis of the REALD-30.</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BREALD-20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Based on standard recommendations, the translation and cross-cultural adaptation of the REALD-30 were initially performed by two independent translators (a Brazilian fluent in English and a native English speaker fluent in Portuguese) with experience in the translation of health questionnaires.</w:t>
            </w:r>
          </w:p>
        </w:tc>
      </w:tr>
      <w:tr w:rsidR="00155B5F" w:rsidRPr="00D3067E" w:rsidTr="00082E94">
        <w:trPr>
          <w:trHeight w:val="926"/>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Parker et al.(2017)</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TREALD-30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Two native Turkish speakers translated the original English REALD-30 into Turkish. The two versions were then synthesized and back translated to ensure cultural equivalence. Next, an expert committee of biostatisticians, oral health professionals, linguists, and translators developed a "pre-final" version, which was then pilot-tested among a convenience sample of 35 adult dental patients.</w:t>
            </w:r>
          </w:p>
        </w:tc>
      </w:tr>
      <w:tr w:rsidR="00155B5F" w:rsidRPr="00D3067E" w:rsidTr="00155B5F">
        <w:trPr>
          <w:trHeight w:val="260"/>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AREALD-30</w:t>
            </w:r>
          </w:p>
        </w:tc>
        <w:tc>
          <w:tcPr>
            <w:tcW w:w="3232" w:type="pct"/>
          </w:tcPr>
          <w:p w:rsidR="00155B5F" w:rsidRPr="00D3067E" w:rsidRDefault="00155B5F" w:rsidP="00054199">
            <w:pPr>
              <w:spacing w:before="240" w:line="240" w:lineRule="atLeast"/>
              <w:jc w:val="center"/>
              <w:rPr>
                <w:sz w:val="16"/>
                <w:szCs w:val="16"/>
              </w:rPr>
            </w:pPr>
            <w:r w:rsidRPr="00D3067E">
              <w:rPr>
                <w:sz w:val="16"/>
                <w:szCs w:val="16"/>
              </w:rPr>
              <w:t>An expert panel was convened with three bilingual individuals (two of them were dental professionals) to resolve the discrepancies between the independently translated versions. In addition, an independent professional translator back-translated the Arabic version into English and no discrepancies existed between the original and back-translated English versions of AREALD-99 and A-OHIP-14. AREALD-99 and A-OHIP-14 questionnaire were pilot tested on a convenience sample of twenty patients visiting the dental clinics to assess face and content validity</w:t>
            </w:r>
            <w:r w:rsidRPr="00D3067E">
              <w:rPr>
                <w:sz w:val="16"/>
                <w:szCs w:val="16"/>
                <w:rtl/>
              </w:rPr>
              <w:t>.</w:t>
            </w:r>
          </w:p>
        </w:tc>
      </w:tr>
      <w:tr w:rsidR="00155B5F" w:rsidRPr="00D3067E" w:rsidTr="00155B5F">
        <w:trPr>
          <w:trHeight w:val="782"/>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bidi/>
              <w:spacing w:before="240" w:line="240" w:lineRule="atLeast"/>
              <w:jc w:val="center"/>
              <w:rPr>
                <w:bCs/>
                <w:color w:val="000000"/>
                <w:sz w:val="16"/>
                <w:szCs w:val="16"/>
              </w:rPr>
            </w:pPr>
            <w:r w:rsidRPr="00D3067E">
              <w:rPr>
                <w:sz w:val="16"/>
                <w:szCs w:val="16"/>
              </w:rPr>
              <w:t>REALMD-20</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original REALMD-20 was translated into Brazilian Portuguese. A few terms were replaced with culturally appropriate, equivalent terms prior to a pre-test of the tool conducted through face to face interviews. Volunteers' feedback was used to evaluate the difficulty of each item. Items were then arranged in ascending order of difficulty. Finally, the tool was back-translated to ensure consistency with the original version.</w:t>
            </w:r>
          </w:p>
        </w:tc>
      </w:tr>
      <w:tr w:rsidR="00155B5F" w:rsidRPr="00D3067E" w:rsidTr="00155B5F">
        <w:trPr>
          <w:trHeight w:val="692"/>
        </w:trPr>
        <w:tc>
          <w:tcPr>
            <w:tcW w:w="1034" w:type="pct"/>
            <w:vAlign w:val="center"/>
          </w:tcPr>
          <w:p w:rsidR="00155B5F" w:rsidRPr="00D46370" w:rsidRDefault="00155B5F" w:rsidP="00054199">
            <w:pPr>
              <w:spacing w:line="240" w:lineRule="atLeast"/>
              <w:jc w:val="center"/>
              <w:rPr>
                <w:rFonts w:ascii="Calibri" w:eastAsia="Calibri" w:hAnsi="Calibri" w:cs="Arial"/>
              </w:rPr>
            </w:pPr>
          </w:p>
          <w:p w:rsidR="00155B5F" w:rsidRPr="00D46370" w:rsidRDefault="00155B5F" w:rsidP="00054199">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734" w:type="pct"/>
            <w:vAlign w:val="center"/>
          </w:tcPr>
          <w:p w:rsidR="00155B5F" w:rsidRPr="00D3067E" w:rsidRDefault="00155B5F" w:rsidP="00054199">
            <w:pPr>
              <w:bidi/>
              <w:spacing w:before="240" w:line="240" w:lineRule="atLeast"/>
              <w:jc w:val="center"/>
              <w:rPr>
                <w:rFonts w:ascii="DfxhybAdvTTb5929f4c" w:hAnsi="DfxhybAdvTTb5929f4c"/>
                <w:bCs/>
                <w:color w:val="000000"/>
                <w:sz w:val="16"/>
                <w:szCs w:val="16"/>
              </w:rPr>
            </w:pPr>
            <w:r w:rsidRPr="00D3067E">
              <w:rPr>
                <w:sz w:val="16"/>
                <w:szCs w:val="16"/>
              </w:rPr>
              <w:t>OHLA-B</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Initial translation into Portuguese language by two Spanish teachers, back translation into Spanish by two native Spanish speaking, review by the committee, and pre-test</w:t>
            </w:r>
            <w:r w:rsidRPr="00D3067E">
              <w:rPr>
                <w:sz w:val="16"/>
                <w:szCs w:val="16"/>
                <w:rtl/>
              </w:rPr>
              <w:t>.</w:t>
            </w:r>
          </w:p>
        </w:tc>
      </w:tr>
      <w:tr w:rsidR="00155B5F" w:rsidRPr="00D3067E" w:rsidTr="00155B5F">
        <w:trPr>
          <w:trHeight w:val="440"/>
        </w:trPr>
        <w:tc>
          <w:tcPr>
            <w:tcW w:w="1034" w:type="pct"/>
            <w:vAlign w:val="center"/>
          </w:tcPr>
          <w:p w:rsidR="00155B5F" w:rsidRPr="00D46370" w:rsidRDefault="00155B5F" w:rsidP="00054199">
            <w:pPr>
              <w:spacing w:line="240" w:lineRule="atLeast"/>
              <w:jc w:val="center"/>
              <w:rPr>
                <w:rFonts w:ascii="Calibri" w:eastAsia="Calibri" w:hAnsi="Calibri" w:cs="Arial"/>
              </w:rPr>
            </w:pPr>
            <w:r w:rsidRPr="00D46370">
              <w:rPr>
                <w:rFonts w:ascii="Calibri" w:eastAsia="Calibri" w:hAnsi="Calibri" w:cs="Arial"/>
              </w:rPr>
              <w:t>Sistani et al.(2013)</w:t>
            </w:r>
          </w:p>
        </w:tc>
        <w:tc>
          <w:tcPr>
            <w:tcW w:w="734" w:type="pct"/>
            <w:vAlign w:val="center"/>
          </w:tcPr>
          <w:p w:rsidR="00155B5F" w:rsidRPr="00D3067E" w:rsidRDefault="00155B5F" w:rsidP="00054199">
            <w:pPr>
              <w:spacing w:before="240" w:line="240" w:lineRule="atLeast"/>
              <w:jc w:val="center"/>
              <w:rPr>
                <w:bCs/>
                <w:color w:val="000000"/>
                <w:sz w:val="16"/>
                <w:szCs w:val="16"/>
              </w:rPr>
            </w:pPr>
            <w:r w:rsidRPr="00D3067E">
              <w:rPr>
                <w:sz w:val="16"/>
                <w:szCs w:val="16"/>
              </w:rPr>
              <w:t>OHL-AQ</w:t>
            </w: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Eight experts (six oral public health specialists, a methodologist, and a health education expert) appraised the questionnaire by scoring relevancy, clarity, simplicity, and necessity of the items in order to calculate the content validity index (CVI) and content validity ratio (CVR).</w:t>
            </w:r>
          </w:p>
        </w:tc>
      </w:tr>
      <w:tr w:rsidR="00155B5F" w:rsidRPr="00D3067E" w:rsidTr="00155B5F">
        <w:trPr>
          <w:trHeight w:val="710"/>
        </w:trPr>
        <w:tc>
          <w:tcPr>
            <w:tcW w:w="1034" w:type="pct"/>
            <w:vAlign w:val="center"/>
          </w:tcPr>
          <w:p w:rsidR="00155B5F" w:rsidRPr="00D46370" w:rsidRDefault="00155B5F" w:rsidP="00054199">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OHLI-cl</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development of the tool involved two independent translation and back translation of the original OHLI from English to Spanish and vice-versa by two native Spanish language professionals proficient in English. The two independent versions of translation where then revised by a third bilingual professional to achieve a consensus. The final version of the tool was revised by a panel of experts in dental public health.</w:t>
            </w:r>
          </w:p>
        </w:tc>
      </w:tr>
      <w:tr w:rsidR="00155B5F" w:rsidRPr="00D3067E" w:rsidTr="00155B5F">
        <w:trPr>
          <w:trHeight w:val="800"/>
        </w:trPr>
        <w:tc>
          <w:tcPr>
            <w:tcW w:w="1034" w:type="pct"/>
            <w:vAlign w:val="center"/>
          </w:tcPr>
          <w:p w:rsidR="00155B5F" w:rsidRPr="00B476A4" w:rsidRDefault="00155B5F" w:rsidP="00054199">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155B5F" w:rsidRPr="00D46370" w:rsidRDefault="00155B5F" w:rsidP="00054199">
            <w:pPr>
              <w:spacing w:line="240" w:lineRule="atLeast"/>
              <w:jc w:val="center"/>
              <w:rPr>
                <w:rFonts w:ascii="Calibri" w:eastAsia="Calibri" w:hAnsi="Calibri" w:cs="Arial"/>
              </w:rPr>
            </w:pP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Span-REALD-30</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development of the tool Spanish REALD-30 included translation from English to Spanish, there was a pilot study and, and the final version was revised by experts.</w:t>
            </w:r>
          </w:p>
        </w:tc>
      </w:tr>
      <w:tr w:rsidR="00155B5F" w:rsidRPr="00D3067E" w:rsidTr="00155B5F">
        <w:trPr>
          <w:trHeight w:val="845"/>
        </w:trPr>
        <w:tc>
          <w:tcPr>
            <w:tcW w:w="1034" w:type="pct"/>
            <w:vAlign w:val="center"/>
          </w:tcPr>
          <w:p w:rsidR="00155B5F" w:rsidRPr="00D46370" w:rsidRDefault="00155B5F" w:rsidP="00054199">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IREALD-99</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The IREALD-99 was translated into the Persian language, then back translated by native English speakers. The Persian version was then pilot tested among 12 adults to identify any problems with the translation.</w:t>
            </w:r>
          </w:p>
        </w:tc>
      </w:tr>
      <w:tr w:rsidR="00155B5F" w:rsidRPr="00D3067E" w:rsidTr="00155B5F">
        <w:trPr>
          <w:trHeight w:val="512"/>
        </w:trPr>
        <w:tc>
          <w:tcPr>
            <w:tcW w:w="1034" w:type="pct"/>
            <w:vAlign w:val="center"/>
          </w:tcPr>
          <w:p w:rsidR="00155B5F" w:rsidRPr="00D46370" w:rsidRDefault="00155B5F" w:rsidP="00054199">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734" w:type="pct"/>
            <w:vAlign w:val="center"/>
          </w:tcPr>
          <w:p w:rsidR="00155B5F" w:rsidRPr="00D3067E" w:rsidRDefault="00155B5F" w:rsidP="00054199">
            <w:pPr>
              <w:spacing w:before="240" w:line="240" w:lineRule="atLeast"/>
              <w:jc w:val="center"/>
              <w:rPr>
                <w:sz w:val="16"/>
                <w:szCs w:val="16"/>
              </w:rPr>
            </w:pPr>
            <w:r w:rsidRPr="00D3067E">
              <w:rPr>
                <w:sz w:val="16"/>
                <w:szCs w:val="16"/>
              </w:rPr>
              <w:t>REALM-D</w:t>
            </w:r>
          </w:p>
          <w:p w:rsidR="00155B5F" w:rsidRPr="00D3067E" w:rsidRDefault="00155B5F" w:rsidP="00054199">
            <w:pPr>
              <w:spacing w:before="240" w:line="240" w:lineRule="atLeast"/>
              <w:jc w:val="center"/>
              <w:rPr>
                <w:sz w:val="16"/>
                <w:szCs w:val="16"/>
              </w:rPr>
            </w:pPr>
          </w:p>
        </w:tc>
        <w:tc>
          <w:tcPr>
            <w:tcW w:w="3232" w:type="pct"/>
            <w:vAlign w:val="center"/>
          </w:tcPr>
          <w:p w:rsidR="00155B5F" w:rsidRPr="00D3067E" w:rsidRDefault="00155B5F" w:rsidP="00054199">
            <w:pPr>
              <w:spacing w:before="240" w:line="240" w:lineRule="atLeast"/>
              <w:jc w:val="center"/>
              <w:rPr>
                <w:sz w:val="16"/>
                <w:szCs w:val="16"/>
              </w:rPr>
            </w:pPr>
            <w:r w:rsidRPr="00D3067E">
              <w:rPr>
                <w:sz w:val="16"/>
                <w:szCs w:val="16"/>
              </w:rPr>
              <w:t>Used the REALM as a starting point and added additional dental/medical terminology per a convenience sample of dental students and patients</w:t>
            </w:r>
            <w:r w:rsidR="00787495">
              <w:rPr>
                <w:sz w:val="16"/>
                <w:szCs w:val="16"/>
              </w:rPr>
              <w:t>.</w:t>
            </w:r>
          </w:p>
        </w:tc>
      </w:tr>
    </w:tbl>
    <w:p w:rsidR="00EF437F" w:rsidRDefault="00EF437F"/>
    <w:p w:rsidR="003271EB" w:rsidRDefault="003271EB"/>
    <w:p w:rsidR="00082E94" w:rsidRDefault="00082E94">
      <w:r>
        <w:br w:type="page"/>
      </w:r>
    </w:p>
    <w:tbl>
      <w:tblPr>
        <w:tblStyle w:val="TableGrid"/>
        <w:tblpPr w:leftFromText="180" w:rightFromText="180" w:vertAnchor="text" w:horzAnchor="page" w:tblpX="316" w:tblpY="152"/>
        <w:tblW w:w="5881" w:type="pct"/>
        <w:tblLook w:val="04A0" w:firstRow="1" w:lastRow="0" w:firstColumn="1" w:lastColumn="0" w:noHBand="0" w:noVBand="1"/>
      </w:tblPr>
      <w:tblGrid>
        <w:gridCol w:w="2161"/>
        <w:gridCol w:w="1187"/>
        <w:gridCol w:w="5238"/>
        <w:gridCol w:w="6912"/>
      </w:tblGrid>
      <w:tr w:rsidR="00082E94" w:rsidRPr="00D3067E" w:rsidTr="00787495">
        <w:trPr>
          <w:cantSplit/>
          <w:trHeight w:val="1073"/>
        </w:trPr>
        <w:tc>
          <w:tcPr>
            <w:tcW w:w="697"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383"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920" w:type="pct"/>
            <w:gridSpan w:val="2"/>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Criterion validity</w:t>
            </w:r>
          </w:p>
        </w:tc>
      </w:tr>
      <w:tr w:rsidR="00155B5F" w:rsidRPr="00D3067E" w:rsidTr="00787495">
        <w:trPr>
          <w:cantSplit/>
          <w:trHeight w:val="713"/>
        </w:trPr>
        <w:tc>
          <w:tcPr>
            <w:tcW w:w="697"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383"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1690" w:type="pc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Concurrent criterion validity</w:t>
            </w:r>
          </w:p>
        </w:tc>
        <w:tc>
          <w:tcPr>
            <w:tcW w:w="2230" w:type="pc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Predictive criterion validity</w:t>
            </w:r>
          </w:p>
        </w:tc>
      </w:tr>
      <w:tr w:rsidR="00155B5F" w:rsidRPr="00D3067E" w:rsidTr="00787495">
        <w:trPr>
          <w:trHeight w:val="1163"/>
        </w:trPr>
        <w:tc>
          <w:tcPr>
            <w:tcW w:w="697"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383"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REALD-99 was correlated positively with the REALM (Pearson correlation coefficient = 0.80, P&lt; 0.05). REALD-99 was associated with parents' Oral Health Impact Profile Short Form score (OHIP-14) score in multi-variate analysis.</w:t>
            </w:r>
          </w:p>
        </w:tc>
        <w:tc>
          <w:tcPr>
            <w:tcW w:w="2230" w:type="pct"/>
            <w:vAlign w:val="center"/>
          </w:tcPr>
          <w:p w:rsidR="00155B5F" w:rsidRPr="00D3067E" w:rsidRDefault="00787495" w:rsidP="00787495">
            <w:pPr>
              <w:spacing w:before="240" w:line="360" w:lineRule="auto"/>
              <w:jc w:val="center"/>
              <w:rPr>
                <w:sz w:val="16"/>
                <w:szCs w:val="16"/>
              </w:rPr>
            </w:pPr>
            <w:r w:rsidRPr="00D3067E">
              <w:rPr>
                <w:sz w:val="16"/>
                <w:szCs w:val="16"/>
              </w:rPr>
              <w:t xml:space="preserve">REALD-99 was </w:t>
            </w:r>
            <w:r>
              <w:rPr>
                <w:sz w:val="16"/>
                <w:szCs w:val="16"/>
              </w:rPr>
              <w:t>c</w:t>
            </w:r>
            <w:r w:rsidR="00155B5F" w:rsidRPr="00D3067E">
              <w:rPr>
                <w:sz w:val="16"/>
                <w:szCs w:val="16"/>
              </w:rPr>
              <w:t>orrelated with oral health quality of life, but not self-perceived oral health status in multivariate analysis, providing mixed results</w:t>
            </w:r>
            <w:r>
              <w:rPr>
                <w:sz w:val="16"/>
                <w:szCs w:val="16"/>
              </w:rPr>
              <w:t>.</w:t>
            </w:r>
          </w:p>
        </w:tc>
      </w:tr>
      <w:tr w:rsidR="00155B5F" w:rsidRPr="00D3067E" w:rsidTr="00787495">
        <w:trPr>
          <w:trHeight w:val="944"/>
        </w:trPr>
        <w:tc>
          <w:tcPr>
            <w:tcW w:w="697"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383"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1690" w:type="pct"/>
            <w:vAlign w:val="center"/>
          </w:tcPr>
          <w:p w:rsidR="00155B5F" w:rsidRPr="00D3067E" w:rsidRDefault="00787495" w:rsidP="00787495">
            <w:pPr>
              <w:spacing w:before="240" w:line="360" w:lineRule="auto"/>
              <w:jc w:val="center"/>
              <w:rPr>
                <w:sz w:val="16"/>
                <w:szCs w:val="16"/>
              </w:rPr>
            </w:pPr>
            <w:r w:rsidRPr="00D3067E">
              <w:rPr>
                <w:sz w:val="16"/>
                <w:szCs w:val="16"/>
              </w:rPr>
              <w:t>REALD-30</w:t>
            </w:r>
            <w:r>
              <w:rPr>
                <w:sz w:val="16"/>
                <w:szCs w:val="16"/>
              </w:rPr>
              <w:t xml:space="preserve"> was s</w:t>
            </w:r>
            <w:r w:rsidR="00155B5F" w:rsidRPr="00D3067E">
              <w:rPr>
                <w:sz w:val="16"/>
                <w:szCs w:val="16"/>
              </w:rPr>
              <w:t>ignificantly (p= 0.05) positively correlated with the REALM (0.86) and TOFHLA (0.64).</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REALD-30 associated with oral health-related </w:t>
            </w:r>
            <w:r w:rsidR="00787495" w:rsidRPr="00D3067E">
              <w:rPr>
                <w:sz w:val="16"/>
                <w:szCs w:val="16"/>
              </w:rPr>
              <w:t>quality of</w:t>
            </w:r>
            <w:r w:rsidRPr="00D3067E">
              <w:rPr>
                <w:sz w:val="16"/>
                <w:szCs w:val="16"/>
              </w:rPr>
              <w:t xml:space="preserve"> life, but not with perceived dental health status</w:t>
            </w:r>
          </w:p>
        </w:tc>
      </w:tr>
      <w:tr w:rsidR="00155B5F" w:rsidRPr="00D3067E" w:rsidTr="00787495">
        <w:trPr>
          <w:trHeight w:val="560"/>
        </w:trPr>
        <w:tc>
          <w:tcPr>
            <w:tcW w:w="697" w:type="pct"/>
            <w:vAlign w:val="center"/>
          </w:tcPr>
          <w:p w:rsidR="00155B5F" w:rsidRPr="00D46370" w:rsidRDefault="00155B5F" w:rsidP="00155B5F">
            <w:pPr>
              <w:spacing w:line="240" w:lineRule="atLeast"/>
              <w:jc w:val="center"/>
              <w:rPr>
                <w:color w:val="000000"/>
              </w:rPr>
            </w:pPr>
            <w:r w:rsidRPr="00D46370">
              <w:rPr>
                <w:color w:val="000000"/>
              </w:rPr>
              <w:t>Gong et al.(2007)</w:t>
            </w:r>
          </w:p>
        </w:tc>
        <w:tc>
          <w:tcPr>
            <w:tcW w:w="383" w:type="pct"/>
            <w:vAlign w:val="center"/>
          </w:tcPr>
          <w:p w:rsidR="00155B5F" w:rsidRPr="00D3067E" w:rsidRDefault="00155B5F" w:rsidP="00155B5F">
            <w:pPr>
              <w:bidi/>
              <w:spacing w:before="240" w:line="360" w:lineRule="auto"/>
              <w:jc w:val="center"/>
              <w:rPr>
                <w:bCs/>
                <w:sz w:val="16"/>
                <w:szCs w:val="16"/>
              </w:rPr>
            </w:pPr>
            <w:proofErr w:type="spellStart"/>
            <w:r w:rsidRPr="00D3067E">
              <w:rPr>
                <w:sz w:val="16"/>
                <w:szCs w:val="16"/>
              </w:rPr>
              <w:t>ToFHLiD</w:t>
            </w:r>
            <w:proofErr w:type="spellEnd"/>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054199">
            <w:pPr>
              <w:spacing w:before="240" w:line="360" w:lineRule="auto"/>
              <w:jc w:val="center"/>
              <w:rPr>
                <w:sz w:val="16"/>
                <w:szCs w:val="16"/>
              </w:rPr>
            </w:pPr>
            <w:proofErr w:type="spellStart"/>
            <w:r w:rsidRPr="00D3067E">
              <w:rPr>
                <w:sz w:val="16"/>
                <w:szCs w:val="16"/>
              </w:rPr>
              <w:t>TOFHLiD</w:t>
            </w:r>
            <w:proofErr w:type="spellEnd"/>
            <w:r w:rsidRPr="00D3067E">
              <w:rPr>
                <w:sz w:val="16"/>
                <w:szCs w:val="16"/>
              </w:rPr>
              <w:t xml:space="preserve"> scores were associated with the child's oral health status and the caregivers' OHIP-14 scores (P, 0.05) in bi-variate analyses, but not the oral health status of the caregiver.</w:t>
            </w:r>
          </w:p>
        </w:tc>
      </w:tr>
      <w:tr w:rsidR="00372C1D" w:rsidRPr="00D3067E" w:rsidTr="00372C1D">
        <w:trPr>
          <w:trHeight w:val="470"/>
        </w:trPr>
        <w:tc>
          <w:tcPr>
            <w:tcW w:w="697"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383"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1690" w:type="pct"/>
            <w:vAlign w:val="center"/>
          </w:tcPr>
          <w:p w:rsidR="00372C1D" w:rsidRPr="00D3067E" w:rsidRDefault="00372C1D" w:rsidP="00372C1D">
            <w:pPr>
              <w:spacing w:before="240" w:line="360" w:lineRule="auto"/>
              <w:jc w:val="center"/>
              <w:rPr>
                <w:sz w:val="16"/>
                <w:szCs w:val="16"/>
              </w:rPr>
            </w:pPr>
            <w:r w:rsidRPr="00D3067E">
              <w:rPr>
                <w:sz w:val="16"/>
                <w:szCs w:val="16"/>
              </w:rPr>
              <w:t>Convergent: TOFHLA r=0.61, and Discriminate: Oral Knowledge r=0.57</w:t>
            </w:r>
          </w:p>
        </w:tc>
        <w:tc>
          <w:tcPr>
            <w:tcW w:w="2230" w:type="pct"/>
            <w:vAlign w:val="center"/>
          </w:tcPr>
          <w:p w:rsidR="00372C1D" w:rsidRDefault="00372C1D" w:rsidP="00372C1D">
            <w:pPr>
              <w:jc w:val="center"/>
            </w:pPr>
            <w:r w:rsidRPr="0079654E">
              <w:rPr>
                <w:sz w:val="16"/>
                <w:szCs w:val="16"/>
              </w:rPr>
              <w:t>Unknown</w:t>
            </w:r>
          </w:p>
        </w:tc>
      </w:tr>
      <w:tr w:rsidR="00372C1D" w:rsidRPr="00D3067E" w:rsidTr="00372C1D">
        <w:trPr>
          <w:trHeight w:val="1028"/>
        </w:trPr>
        <w:tc>
          <w:tcPr>
            <w:tcW w:w="697"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383"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1690" w:type="pct"/>
            <w:vAlign w:val="center"/>
          </w:tcPr>
          <w:p w:rsidR="00372C1D" w:rsidRPr="00D3067E" w:rsidRDefault="00372C1D" w:rsidP="00372C1D">
            <w:pPr>
              <w:spacing w:before="240" w:line="360" w:lineRule="auto"/>
              <w:jc w:val="center"/>
              <w:rPr>
                <w:sz w:val="16"/>
                <w:szCs w:val="16"/>
              </w:rPr>
            </w:pPr>
            <w:r w:rsidRPr="00D3067E">
              <w:rPr>
                <w:sz w:val="16"/>
                <w:szCs w:val="16"/>
              </w:rPr>
              <w:t>Chi-square/Fisher’s exact test analysis confirmed that the CMOHK and REALM were significantly associated with one another (Fisher’s exact test P-value &lt; 0.01) whereas the CMOHK and Short</w:t>
            </w:r>
            <w:r>
              <w:rPr>
                <w:sz w:val="16"/>
                <w:szCs w:val="16"/>
              </w:rPr>
              <w:t xml:space="preserve"> </w:t>
            </w:r>
            <w:r w:rsidRPr="00D3067E">
              <w:rPr>
                <w:sz w:val="16"/>
                <w:szCs w:val="16"/>
              </w:rPr>
              <w:t>TOFHLA were not (chi-square P-value = 0.62</w:t>
            </w:r>
            <w:r>
              <w:rPr>
                <w:sz w:val="16"/>
                <w:szCs w:val="16"/>
              </w:rPr>
              <w:t>).</w:t>
            </w:r>
          </w:p>
        </w:tc>
        <w:tc>
          <w:tcPr>
            <w:tcW w:w="2230" w:type="pct"/>
            <w:vAlign w:val="center"/>
          </w:tcPr>
          <w:p w:rsidR="00372C1D" w:rsidRDefault="00372C1D" w:rsidP="00372C1D">
            <w:pPr>
              <w:jc w:val="center"/>
            </w:pPr>
            <w:r w:rsidRPr="0079654E">
              <w:rPr>
                <w:sz w:val="16"/>
                <w:szCs w:val="16"/>
              </w:rPr>
              <w:t>Unknown</w:t>
            </w:r>
          </w:p>
        </w:tc>
      </w:tr>
      <w:tr w:rsidR="00155B5F" w:rsidRPr="00D3067E" w:rsidTr="00787495">
        <w:trPr>
          <w:trHeight w:val="1250"/>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There was a significant correlation (P &lt; 0.01) between reading habits and HKREALD-30. Indicating that the more hours the participants spent in reading (Spearman’s rho = 0.389 for print materials and 0.278 for digital materials), the higher the HKREALD-30 scores they obtained.  </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The predictive validity of REALD-30 was partially supported by a positive association (P &lt; 0.05) with the short form Oral Health Impact Profile (OHIP- but the correlation with self-perceived dental health status was not statistically significant</w:t>
            </w:r>
            <w:r w:rsidRPr="00D3067E">
              <w:rPr>
                <w:sz w:val="16"/>
                <w:szCs w:val="16"/>
                <w:rtl/>
              </w:rPr>
              <w:t>.</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1070"/>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lastRenderedPageBreak/>
              <w:t>Gironda</w:t>
            </w:r>
            <w:proofErr w:type="spellEnd"/>
            <w:r w:rsidRPr="00D46370">
              <w:rPr>
                <w:rFonts w:ascii="Calibri" w:eastAsia="Calibri" w:hAnsi="Calibri" w:cs="Arial"/>
              </w:rPr>
              <w:t xml:space="preserve"> et al.(2013)</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787495" w:rsidP="00054199">
            <w:pPr>
              <w:spacing w:before="240" w:line="360" w:lineRule="auto"/>
              <w:jc w:val="center"/>
              <w:rPr>
                <w:sz w:val="16"/>
                <w:szCs w:val="16"/>
              </w:rPr>
            </w:pPr>
            <w:r>
              <w:rPr>
                <w:sz w:val="16"/>
                <w:szCs w:val="16"/>
              </w:rPr>
              <w:t>T</w:t>
            </w:r>
            <w:r w:rsidR="00155B5F" w:rsidRPr="00D3067E">
              <w:rPr>
                <w:sz w:val="16"/>
                <w:szCs w:val="16"/>
              </w:rPr>
              <w:t xml:space="preserve">he REALMD-20 was highly correlated with coefficients ranging from </w:t>
            </w:r>
            <w:proofErr w:type="spellStart"/>
            <w:r w:rsidR="00155B5F" w:rsidRPr="00D3067E">
              <w:rPr>
                <w:sz w:val="16"/>
                <w:szCs w:val="16"/>
              </w:rPr>
              <w:t>rs</w:t>
            </w:r>
            <w:proofErr w:type="spellEnd"/>
            <w:r w:rsidR="00155B5F" w:rsidRPr="00D3067E">
              <w:rPr>
                <w:sz w:val="16"/>
                <w:szCs w:val="16"/>
              </w:rPr>
              <w:t xml:space="preserve"> = 0.90 to </w:t>
            </w:r>
            <w:r>
              <w:rPr>
                <w:sz w:val="16"/>
                <w:szCs w:val="16"/>
              </w:rPr>
              <w:t xml:space="preserve">                               </w:t>
            </w:r>
            <w:proofErr w:type="spellStart"/>
            <w:r w:rsidR="00155B5F" w:rsidRPr="00D3067E">
              <w:rPr>
                <w:sz w:val="16"/>
                <w:szCs w:val="16"/>
              </w:rPr>
              <w:t>rs</w:t>
            </w:r>
            <w:proofErr w:type="spellEnd"/>
            <w:r w:rsidR="00155B5F" w:rsidRPr="00D3067E">
              <w:rPr>
                <w:sz w:val="16"/>
                <w:szCs w:val="16"/>
              </w:rPr>
              <w:t xml:space="preserve"> = 0.93.Correlations between instruments and two single-item indicators were weakly, but significantly correlated with positive correlations between </w:t>
            </w:r>
            <w:proofErr w:type="spellStart"/>
            <w:r w:rsidR="00155B5F" w:rsidRPr="00D3067E">
              <w:rPr>
                <w:sz w:val="16"/>
                <w:szCs w:val="16"/>
              </w:rPr>
              <w:t>rs</w:t>
            </w:r>
            <w:proofErr w:type="spellEnd"/>
            <w:r w:rsidR="00155B5F" w:rsidRPr="00D3067E">
              <w:rPr>
                <w:sz w:val="16"/>
                <w:szCs w:val="16"/>
              </w:rPr>
              <w:t xml:space="preserve"> = 0.25 and </w:t>
            </w:r>
            <w:proofErr w:type="spellStart"/>
            <w:r w:rsidR="00155B5F" w:rsidRPr="00D3067E">
              <w:rPr>
                <w:sz w:val="16"/>
                <w:szCs w:val="16"/>
              </w:rPr>
              <w:t>rs</w:t>
            </w:r>
            <w:proofErr w:type="spellEnd"/>
            <w:r w:rsidR="00155B5F" w:rsidRPr="00D3067E">
              <w:rPr>
                <w:sz w:val="16"/>
                <w:szCs w:val="16"/>
              </w:rPr>
              <w:t xml:space="preserve"> = 0.32 (P &lt; 0.001) for confident filling out medical forms, and negative correlations between </w:t>
            </w:r>
            <w:proofErr w:type="spellStart"/>
            <w:r w:rsidR="00155B5F" w:rsidRPr="00D3067E">
              <w:rPr>
                <w:sz w:val="16"/>
                <w:szCs w:val="16"/>
              </w:rPr>
              <w:t>rs</w:t>
            </w:r>
            <w:proofErr w:type="spellEnd"/>
            <w:r w:rsidR="00155B5F" w:rsidRPr="00D3067E">
              <w:rPr>
                <w:sz w:val="16"/>
                <w:szCs w:val="16"/>
              </w:rPr>
              <w:t xml:space="preserve"> =-0.25 and </w:t>
            </w:r>
            <w:proofErr w:type="spellStart"/>
            <w:r w:rsidR="00155B5F" w:rsidRPr="00D3067E">
              <w:rPr>
                <w:sz w:val="16"/>
                <w:szCs w:val="16"/>
              </w:rPr>
              <w:t>rs</w:t>
            </w:r>
            <w:proofErr w:type="spellEnd"/>
            <w:r w:rsidR="00155B5F" w:rsidRPr="00D3067E">
              <w:rPr>
                <w:sz w:val="16"/>
                <w:szCs w:val="16"/>
              </w:rPr>
              <w:t xml:space="preserve"> =-0.34</w:t>
            </w:r>
            <w:r>
              <w:rPr>
                <w:sz w:val="16"/>
                <w:szCs w:val="16"/>
              </w:rPr>
              <w:t xml:space="preserve">                      </w:t>
            </w:r>
            <w:r w:rsidR="00155B5F" w:rsidRPr="00D3067E">
              <w:rPr>
                <w:sz w:val="16"/>
                <w:szCs w:val="16"/>
              </w:rPr>
              <w:t xml:space="preserve"> (P &lt; 0.001) for needing help reading hospital material</w:t>
            </w:r>
            <w:r>
              <w:rPr>
                <w:sz w:val="16"/>
                <w:szCs w:val="16"/>
              </w:rPr>
              <w:t>.</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 xml:space="preserve">Concurrent: Self-Reading r=0.43 and Reading to child r=0.12 (N/S); Convergent: </w:t>
            </w:r>
            <w:proofErr w:type="spellStart"/>
            <w:r w:rsidRPr="00D3067E">
              <w:rPr>
                <w:sz w:val="16"/>
                <w:szCs w:val="16"/>
              </w:rPr>
              <w:t>TOFHLiD</w:t>
            </w:r>
            <w:proofErr w:type="spellEnd"/>
            <w:r w:rsidRPr="00D3067E">
              <w:rPr>
                <w:sz w:val="16"/>
                <w:szCs w:val="16"/>
              </w:rPr>
              <w:t xml:space="preserve"> r=0.39 and HKREALD-30 r=0.36</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Predictive: ECOHIS, r=-0.24</w:t>
            </w:r>
          </w:p>
        </w:tc>
      </w:tr>
      <w:tr w:rsidR="00155B5F" w:rsidRPr="00D3067E" w:rsidTr="00787495">
        <w:trPr>
          <w:trHeight w:val="665"/>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383"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054199">
            <w:pPr>
              <w:spacing w:before="240" w:line="360" w:lineRule="auto"/>
              <w:jc w:val="center"/>
              <w:rPr>
                <w:sz w:val="16"/>
                <w:szCs w:val="16"/>
              </w:rPr>
            </w:pPr>
            <w:proofErr w:type="spellStart"/>
            <w:r w:rsidRPr="00D3067E">
              <w:rPr>
                <w:sz w:val="16"/>
                <w:szCs w:val="16"/>
              </w:rPr>
              <w:t>HeLD</w:t>
            </w:r>
            <w:proofErr w:type="spellEnd"/>
            <w:r w:rsidRPr="00D3067E">
              <w:rPr>
                <w:sz w:val="16"/>
                <w:szCs w:val="16"/>
              </w:rPr>
              <w:t xml:space="preserve"> scores were significantly correlated with toothbrush ownership (r=0.14, p&lt;0.01).</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Convergent: REALD-30 r=0.96 and NVS r=0.51; Concurrent: OHIP-14§, β= -0.74 and SRDHS¶, β=0.10</w:t>
            </w:r>
          </w:p>
        </w:tc>
        <w:tc>
          <w:tcPr>
            <w:tcW w:w="223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1223"/>
        </w:trPr>
        <w:tc>
          <w:tcPr>
            <w:tcW w:w="69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1690"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c>
          <w:tcPr>
            <w:tcW w:w="2230" w:type="pct"/>
            <w:vAlign w:val="center"/>
          </w:tcPr>
          <w:p w:rsidR="00155B5F" w:rsidRPr="00D3067E" w:rsidRDefault="00155B5F" w:rsidP="00787495">
            <w:pPr>
              <w:spacing w:before="240" w:line="360" w:lineRule="auto"/>
              <w:rPr>
                <w:sz w:val="16"/>
                <w:szCs w:val="16"/>
              </w:rPr>
            </w:pPr>
            <w:r w:rsidRPr="00D3067E">
              <w:rPr>
                <w:sz w:val="16"/>
                <w:szCs w:val="16"/>
              </w:rPr>
              <w:t>Regarding predictive validity, no correlation was found between the BREALD-30 and</w:t>
            </w:r>
            <w:r w:rsidR="003A480A">
              <w:rPr>
                <w:rFonts w:hint="cs"/>
                <w:sz w:val="16"/>
                <w:szCs w:val="16"/>
                <w:rtl/>
              </w:rPr>
              <w:t xml:space="preserve"> </w:t>
            </w:r>
            <w:r w:rsidRPr="00D3067E">
              <w:rPr>
                <w:sz w:val="16"/>
                <w:szCs w:val="16"/>
              </w:rPr>
              <w:t>OHIP-14 scores (</w:t>
            </w:r>
            <w:proofErr w:type="spellStart"/>
            <w:r w:rsidRPr="00D3067E">
              <w:rPr>
                <w:sz w:val="16"/>
                <w:szCs w:val="16"/>
              </w:rPr>
              <w:t>rs</w:t>
            </w:r>
            <w:proofErr w:type="spellEnd"/>
            <w:r w:rsidRPr="00D3067E">
              <w:rPr>
                <w:sz w:val="16"/>
                <w:szCs w:val="16"/>
              </w:rPr>
              <w:t xml:space="preserve"> = -0.080; p = 0.198), but the BREALD-30 score was statistically associated with self-rated oral health and respondent’s assessment of his/her child’s oral health in the bivariate analysis (Mann Whitney, p = 0.003 for both variables</w:t>
            </w:r>
            <w:r w:rsidR="00787495">
              <w:rPr>
                <w:sz w:val="16"/>
                <w:szCs w:val="16"/>
              </w:rPr>
              <w:t>).</w:t>
            </w:r>
          </w:p>
        </w:tc>
      </w:tr>
      <w:tr w:rsidR="00155B5F" w:rsidRPr="00D3067E" w:rsidTr="00787495">
        <w:trPr>
          <w:trHeight w:val="1115"/>
        </w:trPr>
        <w:tc>
          <w:tcPr>
            <w:tcW w:w="69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Positive correlation between TREALD-30 and REALM (r=0.73, p&lt;0.01) as well as two single item literacy screeners (r=0.69, p&lt;0.01 for reading ability of hospital materials; r=0.59, p&lt;0.01 for perceived confidence in completing medical forms).</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Positive correlation between TREALD-30 and education (r=0.78, p&lt;0.01).</w:t>
            </w:r>
          </w:p>
        </w:tc>
      </w:tr>
      <w:tr w:rsidR="00155B5F" w:rsidRPr="00D3067E" w:rsidTr="00787495">
        <w:trPr>
          <w:trHeight w:val="1043"/>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1690" w:type="pct"/>
          </w:tcPr>
          <w:p w:rsidR="00155B5F" w:rsidRPr="00D3067E" w:rsidRDefault="00155B5F" w:rsidP="00054199">
            <w:pPr>
              <w:spacing w:before="240" w:line="360" w:lineRule="auto"/>
              <w:rPr>
                <w:sz w:val="16"/>
                <w:szCs w:val="16"/>
              </w:rPr>
            </w:pPr>
            <w:r w:rsidRPr="00D3067E">
              <w:rPr>
                <w:sz w:val="16"/>
                <w:szCs w:val="16"/>
              </w:rPr>
              <w:t>AREALD-30 correlated significantly and positively with AREALD-99 (0.959, P&lt;0.01),    A-OHIP-14 99 (- 0.105, P&lt;0.01), self-perceived oral health status (0.136, P&lt;0.01), and dental visiting habits</w:t>
            </w:r>
            <w:r w:rsidRPr="00D3067E">
              <w:rPr>
                <w:sz w:val="16"/>
                <w:szCs w:val="16"/>
                <w:rtl/>
              </w:rPr>
              <w:t xml:space="preserve"> </w:t>
            </w:r>
            <w:r w:rsidRPr="00D3067E">
              <w:rPr>
                <w:sz w:val="16"/>
                <w:szCs w:val="16"/>
              </w:rPr>
              <w:t>(-0.142, P&lt;0.01).</w:t>
            </w:r>
          </w:p>
        </w:tc>
        <w:tc>
          <w:tcPr>
            <w:tcW w:w="2230"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787495">
        <w:trPr>
          <w:trHeight w:val="926"/>
        </w:trPr>
        <w:tc>
          <w:tcPr>
            <w:tcW w:w="69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38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The Portuguese REALMD-20 was positively correlated with BREALD-30 (</w:t>
            </w:r>
            <w:proofErr w:type="spellStart"/>
            <w:r w:rsidRPr="00D3067E">
              <w:rPr>
                <w:sz w:val="16"/>
                <w:szCs w:val="16"/>
              </w:rPr>
              <w:t>Rs</w:t>
            </w:r>
            <w:proofErr w:type="spellEnd"/>
            <w:r w:rsidRPr="00D3067E">
              <w:rPr>
                <w:sz w:val="16"/>
                <w:szCs w:val="16"/>
              </w:rPr>
              <w:t>=0.73, p&gt;0.001) and BNFLI (</w:t>
            </w:r>
            <w:proofErr w:type="spellStart"/>
            <w:r w:rsidRPr="00D3067E">
              <w:rPr>
                <w:sz w:val="16"/>
                <w:szCs w:val="16"/>
              </w:rPr>
              <w:t>Rs</w:t>
            </w:r>
            <w:proofErr w:type="spellEnd"/>
            <w:r w:rsidRPr="00D3067E">
              <w:rPr>
                <w:sz w:val="16"/>
                <w:szCs w:val="16"/>
              </w:rPr>
              <w:t>=0.60, p&lt;0.001).</w:t>
            </w:r>
          </w:p>
        </w:tc>
        <w:tc>
          <w:tcPr>
            <w:tcW w:w="2230" w:type="pct"/>
            <w:vAlign w:val="center"/>
          </w:tcPr>
          <w:p w:rsidR="00155B5F" w:rsidRPr="00D3067E" w:rsidRDefault="00155B5F" w:rsidP="00054199">
            <w:pPr>
              <w:spacing w:before="240" w:line="360" w:lineRule="auto"/>
              <w:jc w:val="center"/>
              <w:rPr>
                <w:sz w:val="16"/>
                <w:szCs w:val="16"/>
              </w:rPr>
            </w:pPr>
            <w:r w:rsidRPr="00D3067E">
              <w:rPr>
                <w:sz w:val="16"/>
                <w:szCs w:val="16"/>
              </w:rPr>
              <w:t>Portuguese REALMD-20 scores were significantly higher among health professionals and individuals of higher educational attainment.</w:t>
            </w:r>
          </w:p>
        </w:tc>
      </w:tr>
      <w:tr w:rsidR="00372C1D" w:rsidRPr="00D3067E" w:rsidTr="00372C1D">
        <w:trPr>
          <w:trHeight w:val="638"/>
        </w:trPr>
        <w:tc>
          <w:tcPr>
            <w:tcW w:w="697"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383" w:type="pct"/>
            <w:vAlign w:val="center"/>
          </w:tcPr>
          <w:p w:rsidR="00372C1D" w:rsidRPr="00D3067E" w:rsidRDefault="00372C1D" w:rsidP="00372C1D">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Default="00372C1D" w:rsidP="00372C1D">
            <w:pPr>
              <w:jc w:val="center"/>
            </w:pPr>
            <w:r w:rsidRPr="005375A8">
              <w:rPr>
                <w:sz w:val="16"/>
                <w:szCs w:val="16"/>
              </w:rPr>
              <w:t>Unknown</w:t>
            </w:r>
          </w:p>
        </w:tc>
      </w:tr>
      <w:tr w:rsidR="00372C1D" w:rsidRPr="00D3067E" w:rsidTr="00372C1D">
        <w:trPr>
          <w:trHeight w:val="260"/>
        </w:trPr>
        <w:tc>
          <w:tcPr>
            <w:tcW w:w="697"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Sistani et al.(2013)</w:t>
            </w:r>
          </w:p>
        </w:tc>
        <w:tc>
          <w:tcPr>
            <w:tcW w:w="383" w:type="pct"/>
            <w:vAlign w:val="center"/>
          </w:tcPr>
          <w:p w:rsidR="00372C1D" w:rsidRPr="00D3067E" w:rsidRDefault="00372C1D" w:rsidP="00372C1D">
            <w:pPr>
              <w:spacing w:before="240" w:line="360" w:lineRule="auto"/>
              <w:jc w:val="center"/>
              <w:rPr>
                <w:bCs/>
                <w:color w:val="000000"/>
                <w:sz w:val="16"/>
                <w:szCs w:val="16"/>
              </w:rPr>
            </w:pPr>
            <w:r w:rsidRPr="00D3067E">
              <w:rPr>
                <w:sz w:val="16"/>
                <w:szCs w:val="16"/>
              </w:rPr>
              <w:t>OHL-AQ</w:t>
            </w: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Default="00372C1D" w:rsidP="00372C1D">
            <w:pPr>
              <w:jc w:val="center"/>
            </w:pPr>
            <w:r w:rsidRPr="005375A8">
              <w:rPr>
                <w:sz w:val="16"/>
                <w:szCs w:val="16"/>
              </w:rPr>
              <w:t>Unknown</w:t>
            </w:r>
          </w:p>
        </w:tc>
      </w:tr>
      <w:tr w:rsidR="00372C1D" w:rsidRPr="00D3067E" w:rsidTr="00372C1D">
        <w:trPr>
          <w:trHeight w:val="818"/>
        </w:trPr>
        <w:tc>
          <w:tcPr>
            <w:tcW w:w="697" w:type="pct"/>
            <w:vAlign w:val="center"/>
          </w:tcPr>
          <w:p w:rsidR="00372C1D" w:rsidRPr="00D46370" w:rsidRDefault="00372C1D" w:rsidP="00372C1D">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383" w:type="pct"/>
            <w:vAlign w:val="center"/>
          </w:tcPr>
          <w:p w:rsidR="00372C1D" w:rsidRPr="00D3067E" w:rsidRDefault="00372C1D" w:rsidP="00372C1D">
            <w:pPr>
              <w:spacing w:before="240" w:line="360" w:lineRule="auto"/>
              <w:jc w:val="center"/>
              <w:rPr>
                <w:sz w:val="16"/>
                <w:szCs w:val="16"/>
              </w:rPr>
            </w:pPr>
            <w:r w:rsidRPr="00D3067E">
              <w:rPr>
                <w:sz w:val="16"/>
                <w:szCs w:val="16"/>
              </w:rPr>
              <w:t>OHLI-cl</w:t>
            </w:r>
          </w:p>
          <w:p w:rsidR="00372C1D" w:rsidRPr="00D3067E" w:rsidRDefault="00372C1D" w:rsidP="00372C1D">
            <w:pPr>
              <w:spacing w:before="240" w:line="360" w:lineRule="auto"/>
              <w:jc w:val="center"/>
              <w:rPr>
                <w:sz w:val="16"/>
                <w:szCs w:val="16"/>
              </w:rPr>
            </w:pP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Pr="00D3067E" w:rsidRDefault="00372C1D" w:rsidP="00372C1D">
            <w:pPr>
              <w:spacing w:before="240" w:line="360" w:lineRule="auto"/>
              <w:jc w:val="center"/>
              <w:rPr>
                <w:sz w:val="16"/>
                <w:szCs w:val="16"/>
                <w:highlight w:val="yellow"/>
              </w:rPr>
            </w:pPr>
            <w:r w:rsidRPr="00D3067E">
              <w:rPr>
                <w:sz w:val="16"/>
                <w:szCs w:val="16"/>
              </w:rPr>
              <w:t xml:space="preserve">To determine the predictive validity, the OHLI scores were correlated with clinical variables (DMFT, CPI and OHIS) and </w:t>
            </w:r>
            <w:proofErr w:type="spellStart"/>
            <w:r w:rsidRPr="00D3067E">
              <w:rPr>
                <w:sz w:val="16"/>
                <w:szCs w:val="16"/>
              </w:rPr>
              <w:t>OHRQoL</w:t>
            </w:r>
            <w:proofErr w:type="spellEnd"/>
            <w:r w:rsidRPr="00D3067E">
              <w:rPr>
                <w:sz w:val="16"/>
                <w:szCs w:val="16"/>
              </w:rPr>
              <w:t xml:space="preserve"> (OHIP-49sp). All correlations were statistically significant (P &lt; 0.01) and showed weak-to-moderate predictive validity.</w:t>
            </w:r>
          </w:p>
        </w:tc>
      </w:tr>
      <w:tr w:rsidR="00372C1D" w:rsidRPr="00D3067E" w:rsidTr="00372C1D">
        <w:trPr>
          <w:trHeight w:val="800"/>
        </w:trPr>
        <w:tc>
          <w:tcPr>
            <w:tcW w:w="697"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383"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1690" w:type="pct"/>
            <w:vAlign w:val="center"/>
          </w:tcPr>
          <w:p w:rsidR="00372C1D" w:rsidRDefault="00372C1D" w:rsidP="00372C1D">
            <w:pPr>
              <w:jc w:val="center"/>
            </w:pPr>
            <w:r w:rsidRPr="00686B06">
              <w:rPr>
                <w:sz w:val="16"/>
                <w:szCs w:val="16"/>
              </w:rPr>
              <w:t>Unknown</w:t>
            </w:r>
          </w:p>
        </w:tc>
        <w:tc>
          <w:tcPr>
            <w:tcW w:w="2230" w:type="pct"/>
            <w:vAlign w:val="center"/>
          </w:tcPr>
          <w:p w:rsidR="00372C1D" w:rsidRPr="00D3067E" w:rsidRDefault="00372C1D" w:rsidP="00372C1D">
            <w:pPr>
              <w:spacing w:before="240" w:line="360" w:lineRule="auto"/>
              <w:jc w:val="center"/>
              <w:rPr>
                <w:sz w:val="16"/>
                <w:szCs w:val="16"/>
                <w:highlight w:val="yellow"/>
              </w:rPr>
            </w:pPr>
            <w:r w:rsidRPr="00D3067E">
              <w:rPr>
                <w:sz w:val="16"/>
                <w:szCs w:val="16"/>
              </w:rPr>
              <w:t>Pearson´s and Spearman´s correlations were &lt;= -0.138 for predictive validity.</w:t>
            </w:r>
          </w:p>
        </w:tc>
      </w:tr>
      <w:tr w:rsidR="00155B5F" w:rsidRPr="00D3067E" w:rsidTr="00787495">
        <w:trPr>
          <w:trHeight w:val="917"/>
        </w:trPr>
        <w:tc>
          <w:tcPr>
            <w:tcW w:w="697" w:type="pct"/>
            <w:vAlign w:val="center"/>
          </w:tcPr>
          <w:p w:rsidR="00155B5F" w:rsidRPr="00D46370" w:rsidRDefault="00155B5F" w:rsidP="00155B5F">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383"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1690" w:type="pct"/>
            <w:vAlign w:val="center"/>
          </w:tcPr>
          <w:p w:rsidR="00155B5F" w:rsidRPr="00D3067E" w:rsidRDefault="00155B5F" w:rsidP="00054199">
            <w:pPr>
              <w:spacing w:before="240" w:line="360" w:lineRule="auto"/>
              <w:jc w:val="center"/>
              <w:rPr>
                <w:sz w:val="16"/>
                <w:szCs w:val="16"/>
              </w:rPr>
            </w:pPr>
            <w:r w:rsidRPr="00D3067E">
              <w:rPr>
                <w:sz w:val="16"/>
                <w:szCs w:val="16"/>
              </w:rPr>
              <w:t>IREALD-99 scores positively correlated to Test of Functional Health Literacy in Dentistry (</w:t>
            </w:r>
            <w:proofErr w:type="spellStart"/>
            <w:r w:rsidRPr="00D3067E">
              <w:rPr>
                <w:sz w:val="16"/>
                <w:szCs w:val="16"/>
              </w:rPr>
              <w:t>TOFHLiD</w:t>
            </w:r>
            <w:proofErr w:type="spellEnd"/>
            <w:r w:rsidRPr="00D3067E">
              <w:rPr>
                <w:sz w:val="16"/>
                <w:szCs w:val="16"/>
              </w:rPr>
              <w:t>) scores (</w:t>
            </w:r>
            <w:proofErr w:type="spellStart"/>
            <w:r w:rsidRPr="00D3067E">
              <w:rPr>
                <w:sz w:val="16"/>
                <w:szCs w:val="16"/>
              </w:rPr>
              <w:t>rh</w:t>
            </w:r>
            <w:proofErr w:type="spellEnd"/>
            <w:r w:rsidRPr="00D3067E">
              <w:rPr>
                <w:sz w:val="16"/>
                <w:szCs w:val="16"/>
              </w:rPr>
              <w:t>=0.72, p&lt;0.01).</w:t>
            </w:r>
          </w:p>
        </w:tc>
        <w:tc>
          <w:tcPr>
            <w:tcW w:w="2230" w:type="pct"/>
          </w:tcPr>
          <w:p w:rsidR="00155B5F" w:rsidRPr="00D3067E" w:rsidRDefault="00372C1D" w:rsidP="00054199">
            <w:pPr>
              <w:spacing w:before="240" w:line="360" w:lineRule="auto"/>
              <w:jc w:val="center"/>
              <w:rPr>
                <w:sz w:val="16"/>
                <w:szCs w:val="16"/>
                <w:highlight w:val="yellow"/>
              </w:rPr>
            </w:pPr>
            <w:r>
              <w:rPr>
                <w:sz w:val="16"/>
                <w:szCs w:val="16"/>
              </w:rPr>
              <w:t>U</w:t>
            </w:r>
            <w:r w:rsidRPr="007C6A9A">
              <w:rPr>
                <w:sz w:val="16"/>
                <w:szCs w:val="16"/>
              </w:rPr>
              <w:t>nknown</w:t>
            </w:r>
          </w:p>
        </w:tc>
      </w:tr>
      <w:tr w:rsidR="00155B5F" w:rsidRPr="00D3067E" w:rsidTr="00787495">
        <w:trPr>
          <w:trHeight w:val="926"/>
        </w:trPr>
        <w:tc>
          <w:tcPr>
            <w:tcW w:w="697" w:type="pct"/>
            <w:vAlign w:val="center"/>
          </w:tcPr>
          <w:p w:rsidR="00155B5F" w:rsidRPr="00D46370" w:rsidRDefault="00155B5F" w:rsidP="00155B5F">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383"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1690" w:type="pct"/>
            <w:vAlign w:val="center"/>
          </w:tcPr>
          <w:p w:rsidR="00155B5F" w:rsidRPr="00D3067E" w:rsidRDefault="00155B5F" w:rsidP="00787495">
            <w:pPr>
              <w:spacing w:before="240" w:line="360" w:lineRule="auto"/>
              <w:jc w:val="center"/>
              <w:rPr>
                <w:sz w:val="16"/>
                <w:szCs w:val="16"/>
              </w:rPr>
            </w:pPr>
            <w:r w:rsidRPr="00D3067E">
              <w:rPr>
                <w:sz w:val="16"/>
                <w:szCs w:val="16"/>
              </w:rPr>
              <w:t xml:space="preserve">Assessed in terms of correlation with the 66-item REALM (r=0.99) and  single-item indicators of health literacy:1) how often the participant needed help reading medical forms; 2) how confident the patient was in filling out medical forms, and patient </w:t>
            </w:r>
            <w:r w:rsidR="00787495" w:rsidRPr="00D3067E">
              <w:rPr>
                <w:sz w:val="16"/>
                <w:szCs w:val="16"/>
              </w:rPr>
              <w:t>sociodemographic</w:t>
            </w:r>
            <w:r w:rsidRPr="00D3067E">
              <w:rPr>
                <w:sz w:val="16"/>
                <w:szCs w:val="16"/>
              </w:rPr>
              <w:t>.</w:t>
            </w:r>
          </w:p>
        </w:tc>
        <w:tc>
          <w:tcPr>
            <w:tcW w:w="2230" w:type="pct"/>
            <w:vAlign w:val="center"/>
          </w:tcPr>
          <w:p w:rsidR="00155B5F" w:rsidRPr="00D3067E" w:rsidRDefault="00155B5F" w:rsidP="00054199">
            <w:pPr>
              <w:spacing w:before="240" w:line="360" w:lineRule="auto"/>
              <w:jc w:val="center"/>
              <w:rPr>
                <w:sz w:val="16"/>
                <w:szCs w:val="16"/>
                <w:highlight w:val="yellow"/>
              </w:rPr>
            </w:pPr>
            <w:r w:rsidRPr="00D3067E">
              <w:rPr>
                <w:sz w:val="16"/>
                <w:szCs w:val="16"/>
              </w:rPr>
              <w:t>Among the variables that were associated with health literacy at a bivariate level, race, education and English as a main language remain predictive of health literacy. A trend (P=0.063) is noted for reporting confidence in filling out medical forms. To further assess the association between health literacy and confidence in filling out forms, a separate regression analysis predicting confidence using race, gender, and education level as covariates and health literacy as a predictor was conducted. Health literacy was found to be the only significant predictor (b=0.50, standard error = 0.21, P=0.02) of confidence filling out medical forms.</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45" w:type="pct"/>
        <w:tblLook w:val="04A0" w:firstRow="1" w:lastRow="0" w:firstColumn="1" w:lastColumn="0" w:noHBand="0" w:noVBand="1"/>
      </w:tblPr>
      <w:tblGrid>
        <w:gridCol w:w="2359"/>
        <w:gridCol w:w="1980"/>
        <w:gridCol w:w="10800"/>
      </w:tblGrid>
      <w:tr w:rsidR="00082E94" w:rsidRPr="00D3067E" w:rsidTr="003A480A">
        <w:trPr>
          <w:cantSplit/>
          <w:trHeight w:val="1073"/>
        </w:trPr>
        <w:tc>
          <w:tcPr>
            <w:tcW w:w="779" w:type="pct"/>
            <w:vMerge w:val="restart"/>
            <w:shd w:val="clear" w:color="auto" w:fill="D9D9D9" w:themeFill="background1" w:themeFillShade="D9"/>
            <w:textDirection w:val="btLr"/>
            <w:vAlign w:val="center"/>
          </w:tcPr>
          <w:p w:rsidR="00082E94" w:rsidRPr="00D3067E" w:rsidRDefault="00082E94" w:rsidP="003A480A">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654" w:type="pct"/>
            <w:vMerge w:val="restart"/>
            <w:shd w:val="clear" w:color="auto" w:fill="D9D9D9" w:themeFill="background1" w:themeFillShade="D9"/>
            <w:vAlign w:val="center"/>
          </w:tcPr>
          <w:p w:rsidR="00082E94" w:rsidRPr="00D3067E" w:rsidRDefault="00082E94" w:rsidP="003A480A">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567" w:type="pct"/>
            <w:vMerge w:val="restar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Convergent validity</w:t>
            </w:r>
          </w:p>
        </w:tc>
      </w:tr>
      <w:tr w:rsidR="00082E94" w:rsidRPr="00D3067E" w:rsidTr="003A480A">
        <w:trPr>
          <w:cantSplit/>
          <w:trHeight w:val="713"/>
        </w:trPr>
        <w:tc>
          <w:tcPr>
            <w:tcW w:w="779" w:type="pct"/>
            <w:vMerge/>
            <w:shd w:val="clear" w:color="auto" w:fill="D9D9D9" w:themeFill="background1" w:themeFillShade="D9"/>
            <w:textDirection w:val="btLr"/>
            <w:vAlign w:val="center"/>
          </w:tcPr>
          <w:p w:rsidR="00082E94" w:rsidRPr="00D3067E" w:rsidRDefault="00082E94" w:rsidP="003A480A">
            <w:pPr>
              <w:bidi/>
              <w:spacing w:before="240"/>
              <w:ind w:left="113" w:right="113"/>
              <w:jc w:val="center"/>
              <w:rPr>
                <w:rFonts w:ascii="Palatino Linotype" w:hAnsi="Palatino Linotype" w:cstheme="majorBidi"/>
                <w:bCs/>
                <w:sz w:val="16"/>
                <w:szCs w:val="16"/>
              </w:rPr>
            </w:pPr>
          </w:p>
        </w:tc>
        <w:tc>
          <w:tcPr>
            <w:tcW w:w="654" w:type="pct"/>
            <w:vMerge/>
            <w:shd w:val="clear" w:color="auto" w:fill="D9D9D9" w:themeFill="background1" w:themeFillShade="D9"/>
            <w:vAlign w:val="center"/>
          </w:tcPr>
          <w:p w:rsidR="00082E94" w:rsidRPr="00D3067E" w:rsidRDefault="00082E94" w:rsidP="003A480A">
            <w:pPr>
              <w:bidi/>
              <w:spacing w:before="240"/>
              <w:jc w:val="center"/>
              <w:rPr>
                <w:rFonts w:ascii="Palatino Linotype" w:hAnsi="Palatino Linotype" w:cstheme="majorBidi"/>
                <w:bCs/>
                <w:sz w:val="16"/>
                <w:szCs w:val="16"/>
              </w:rPr>
            </w:pPr>
          </w:p>
        </w:tc>
        <w:tc>
          <w:tcPr>
            <w:tcW w:w="3567" w:type="pct"/>
            <w:vMerge/>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p>
        </w:tc>
      </w:tr>
      <w:tr w:rsidR="00372C1D" w:rsidRPr="00D3067E" w:rsidTr="00372C1D">
        <w:trPr>
          <w:trHeight w:val="623"/>
        </w:trPr>
        <w:tc>
          <w:tcPr>
            <w:tcW w:w="779" w:type="pct"/>
            <w:vAlign w:val="center"/>
          </w:tcPr>
          <w:p w:rsidR="00372C1D" w:rsidRPr="00D46370" w:rsidRDefault="00372C1D" w:rsidP="00372C1D">
            <w:pPr>
              <w:spacing w:line="240" w:lineRule="atLeast"/>
              <w:jc w:val="center"/>
              <w:rPr>
                <w:color w:val="000000"/>
              </w:rPr>
            </w:pPr>
            <w:r w:rsidRPr="00D46370">
              <w:rPr>
                <w:color w:val="000000"/>
              </w:rPr>
              <w:t>Richman et al(2007)</w:t>
            </w:r>
          </w:p>
        </w:tc>
        <w:tc>
          <w:tcPr>
            <w:tcW w:w="654" w:type="pct"/>
            <w:vAlign w:val="center"/>
          </w:tcPr>
          <w:p w:rsidR="00372C1D" w:rsidRPr="00D3067E" w:rsidRDefault="00372C1D" w:rsidP="00372C1D">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425"/>
        </w:trPr>
        <w:tc>
          <w:tcPr>
            <w:tcW w:w="779" w:type="pct"/>
            <w:vAlign w:val="center"/>
          </w:tcPr>
          <w:p w:rsidR="00372C1D" w:rsidRPr="00D46370" w:rsidRDefault="00372C1D" w:rsidP="00372C1D">
            <w:pPr>
              <w:spacing w:line="240" w:lineRule="atLeast"/>
              <w:jc w:val="center"/>
              <w:rPr>
                <w:color w:val="000000"/>
              </w:rPr>
            </w:pPr>
            <w:r w:rsidRPr="00D46370">
              <w:rPr>
                <w:color w:val="000000"/>
              </w:rPr>
              <w:t>Lee et al(2007)</w:t>
            </w:r>
          </w:p>
        </w:tc>
        <w:tc>
          <w:tcPr>
            <w:tcW w:w="654" w:type="pct"/>
            <w:vAlign w:val="center"/>
          </w:tcPr>
          <w:p w:rsidR="00372C1D" w:rsidRPr="00D3067E" w:rsidRDefault="00372C1D" w:rsidP="00372C1D">
            <w:pPr>
              <w:bidi/>
              <w:spacing w:before="240" w:line="360" w:lineRule="auto"/>
              <w:jc w:val="center"/>
              <w:rPr>
                <w:bCs/>
                <w:sz w:val="16"/>
                <w:szCs w:val="16"/>
              </w:rPr>
            </w:pPr>
            <w:r w:rsidRPr="00D3067E">
              <w:rPr>
                <w:sz w:val="16"/>
                <w:szCs w:val="16"/>
              </w:rPr>
              <w:t>REALD-30</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533"/>
        </w:trPr>
        <w:tc>
          <w:tcPr>
            <w:tcW w:w="779" w:type="pct"/>
            <w:vAlign w:val="center"/>
          </w:tcPr>
          <w:p w:rsidR="00372C1D" w:rsidRPr="00D46370" w:rsidRDefault="00372C1D" w:rsidP="00372C1D">
            <w:pPr>
              <w:spacing w:line="240" w:lineRule="atLeast"/>
              <w:jc w:val="center"/>
              <w:rPr>
                <w:color w:val="000000"/>
              </w:rPr>
            </w:pPr>
            <w:r w:rsidRPr="00D46370">
              <w:rPr>
                <w:color w:val="000000"/>
              </w:rPr>
              <w:t>Gong et al.(2007)</w:t>
            </w:r>
          </w:p>
        </w:tc>
        <w:tc>
          <w:tcPr>
            <w:tcW w:w="654" w:type="pct"/>
            <w:vAlign w:val="center"/>
          </w:tcPr>
          <w:p w:rsidR="00372C1D" w:rsidRPr="00D3067E" w:rsidRDefault="00372C1D" w:rsidP="00372C1D">
            <w:pPr>
              <w:bidi/>
              <w:spacing w:before="240" w:line="360" w:lineRule="auto"/>
              <w:jc w:val="center"/>
              <w:rPr>
                <w:bCs/>
                <w:sz w:val="16"/>
                <w:szCs w:val="16"/>
              </w:rPr>
            </w:pPr>
            <w:proofErr w:type="spellStart"/>
            <w:r w:rsidRPr="00D3067E">
              <w:rPr>
                <w:sz w:val="16"/>
                <w:szCs w:val="16"/>
              </w:rPr>
              <w:t>ToFHLiD</w:t>
            </w:r>
            <w:proofErr w:type="spellEnd"/>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35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3567" w:type="pct"/>
            <w:vAlign w:val="center"/>
          </w:tcPr>
          <w:p w:rsidR="00372C1D" w:rsidRDefault="00372C1D" w:rsidP="00372C1D">
            <w:pPr>
              <w:jc w:val="center"/>
            </w:pPr>
            <w:r w:rsidRPr="00822CD9">
              <w:rPr>
                <w:sz w:val="16"/>
                <w:szCs w:val="16"/>
              </w:rPr>
              <w:t>Unknown</w:t>
            </w:r>
          </w:p>
        </w:tc>
      </w:tr>
      <w:tr w:rsidR="00372C1D" w:rsidRPr="00D3067E" w:rsidTr="00372C1D">
        <w:trPr>
          <w:trHeight w:val="452"/>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3567" w:type="pct"/>
            <w:vAlign w:val="center"/>
          </w:tcPr>
          <w:p w:rsidR="00372C1D" w:rsidRDefault="00372C1D" w:rsidP="00372C1D">
            <w:pPr>
              <w:jc w:val="center"/>
            </w:pPr>
            <w:r w:rsidRPr="00822CD9">
              <w:rPr>
                <w:sz w:val="16"/>
                <w:szCs w:val="16"/>
              </w:rPr>
              <w:t>Unknown</w:t>
            </w:r>
          </w:p>
        </w:tc>
      </w:tr>
      <w:tr w:rsidR="00155B5F" w:rsidRPr="00D3067E" w:rsidTr="003A480A">
        <w:trPr>
          <w:trHeight w:val="605"/>
        </w:trPr>
        <w:tc>
          <w:tcPr>
            <w:tcW w:w="779" w:type="pct"/>
            <w:vAlign w:val="center"/>
          </w:tcPr>
          <w:p w:rsidR="00155B5F" w:rsidRPr="00D46370" w:rsidRDefault="00155B5F" w:rsidP="003A480A">
            <w:pPr>
              <w:spacing w:line="240" w:lineRule="atLeast"/>
              <w:jc w:val="center"/>
              <w:rPr>
                <w:rFonts w:ascii="Calibri" w:eastAsia="Calibri" w:hAnsi="Calibri" w:cs="Arial"/>
              </w:rPr>
            </w:pPr>
          </w:p>
          <w:p w:rsidR="00155B5F" w:rsidRPr="00D46370" w:rsidRDefault="00155B5F" w:rsidP="003A480A">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HKREALD-30</w:t>
            </w:r>
          </w:p>
        </w:tc>
        <w:tc>
          <w:tcPr>
            <w:tcW w:w="3567" w:type="pct"/>
            <w:vAlign w:val="center"/>
          </w:tcPr>
          <w:p w:rsidR="00155B5F" w:rsidRPr="00D3067E" w:rsidRDefault="00155B5F" w:rsidP="00787495">
            <w:pPr>
              <w:spacing w:before="240" w:line="360" w:lineRule="auto"/>
              <w:jc w:val="center"/>
              <w:rPr>
                <w:sz w:val="16"/>
                <w:szCs w:val="16"/>
              </w:rPr>
            </w:pPr>
            <w:r w:rsidRPr="00D3067E">
              <w:rPr>
                <w:sz w:val="16"/>
                <w:szCs w:val="16"/>
              </w:rPr>
              <w:t xml:space="preserve">It was found that HKREALD-30 and </w:t>
            </w:r>
            <w:proofErr w:type="spellStart"/>
            <w:r w:rsidRPr="00D3067E">
              <w:rPr>
                <w:sz w:val="16"/>
                <w:szCs w:val="16"/>
              </w:rPr>
              <w:t>TOFHLiD</w:t>
            </w:r>
            <w:proofErr w:type="spellEnd"/>
            <w:r w:rsidRPr="00D3067E">
              <w:rPr>
                <w:sz w:val="16"/>
                <w:szCs w:val="16"/>
              </w:rPr>
              <w:t xml:space="preserve"> were highly correlated (Spearman’s rho = 0.693, P &lt; 0.01</w:t>
            </w:r>
            <w:r w:rsidR="00787495">
              <w:rPr>
                <w:sz w:val="16"/>
                <w:szCs w:val="16"/>
              </w:rPr>
              <w:t>).</w:t>
            </w:r>
          </w:p>
        </w:tc>
      </w:tr>
      <w:tr w:rsidR="00155B5F" w:rsidRPr="00D3067E" w:rsidTr="003A480A">
        <w:trPr>
          <w:trHeight w:val="578"/>
        </w:trPr>
        <w:tc>
          <w:tcPr>
            <w:tcW w:w="779" w:type="pct"/>
            <w:vAlign w:val="center"/>
          </w:tcPr>
          <w:p w:rsidR="00155B5F" w:rsidRPr="00D46370" w:rsidRDefault="00155B5F" w:rsidP="003A480A">
            <w:pPr>
              <w:spacing w:line="240" w:lineRule="atLeast"/>
              <w:jc w:val="center"/>
              <w:rPr>
                <w:rFonts w:ascii="Calibri" w:eastAsia="Calibri" w:hAnsi="Calibri" w:cs="Arial"/>
              </w:rPr>
            </w:pPr>
            <w:r w:rsidRPr="00D46370">
              <w:rPr>
                <w:rFonts w:ascii="Calibri" w:eastAsia="Calibri" w:hAnsi="Calibri" w:cs="Arial"/>
              </w:rPr>
              <w:t>Lee et al.(2012)</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OHLA-S</w:t>
            </w:r>
          </w:p>
        </w:tc>
        <w:tc>
          <w:tcPr>
            <w:tcW w:w="3567" w:type="pct"/>
            <w:vAlign w:val="center"/>
          </w:tcPr>
          <w:p w:rsidR="00155B5F" w:rsidRPr="00D3067E" w:rsidRDefault="00787495" w:rsidP="00787495">
            <w:pPr>
              <w:spacing w:before="240" w:line="360" w:lineRule="auto"/>
              <w:jc w:val="center"/>
              <w:rPr>
                <w:sz w:val="16"/>
                <w:szCs w:val="16"/>
              </w:rPr>
            </w:pPr>
            <w:r>
              <w:rPr>
                <w:sz w:val="16"/>
                <w:szCs w:val="16"/>
              </w:rPr>
              <w:t>C</w:t>
            </w:r>
            <w:r w:rsidR="00155B5F" w:rsidRPr="00D3067E">
              <w:rPr>
                <w:sz w:val="16"/>
                <w:szCs w:val="16"/>
              </w:rPr>
              <w:t xml:space="preserve">onsistently statistically </w:t>
            </w:r>
            <w:proofErr w:type="gramStart"/>
            <w:r w:rsidR="00155B5F" w:rsidRPr="00D3067E">
              <w:rPr>
                <w:sz w:val="16"/>
                <w:szCs w:val="16"/>
              </w:rPr>
              <w:t>observed  significant</w:t>
            </w:r>
            <w:proofErr w:type="gramEnd"/>
            <w:r w:rsidR="00155B5F" w:rsidRPr="00D3067E">
              <w:rPr>
                <w:sz w:val="16"/>
                <w:szCs w:val="16"/>
              </w:rPr>
              <w:t xml:space="preserve"> associations between the OHLA-S and the variable used to determine convergent validity (TOFHLA</w:t>
            </w:r>
            <w:r>
              <w:rPr>
                <w:sz w:val="16"/>
                <w:szCs w:val="16"/>
              </w:rPr>
              <w:t>).</w:t>
            </w:r>
          </w:p>
        </w:tc>
      </w:tr>
      <w:tr w:rsidR="00372C1D" w:rsidRPr="00D3067E" w:rsidTr="00372C1D">
        <w:trPr>
          <w:trHeight w:val="53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926"/>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Wong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Bridges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(2013)</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HKOHLAT-P</w:t>
            </w:r>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170"/>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Jones et al.(2013)</w:t>
            </w:r>
          </w:p>
        </w:tc>
        <w:tc>
          <w:tcPr>
            <w:tcW w:w="654" w:type="pct"/>
            <w:vAlign w:val="center"/>
          </w:tcPr>
          <w:p w:rsidR="00372C1D" w:rsidRPr="00D3067E" w:rsidRDefault="00372C1D" w:rsidP="00372C1D">
            <w:pPr>
              <w:bidi/>
              <w:spacing w:before="240" w:line="360" w:lineRule="auto"/>
              <w:jc w:val="center"/>
              <w:rPr>
                <w:bCs/>
                <w:color w:val="000000"/>
                <w:sz w:val="16"/>
                <w:szCs w:val="16"/>
              </w:rPr>
            </w:pPr>
            <w:proofErr w:type="spellStart"/>
            <w:r w:rsidRPr="00D3067E">
              <w:rPr>
                <w:sz w:val="16"/>
                <w:szCs w:val="16"/>
              </w:rPr>
              <w:t>HeLD</w:t>
            </w:r>
            <w:proofErr w:type="spellEnd"/>
          </w:p>
        </w:tc>
        <w:tc>
          <w:tcPr>
            <w:tcW w:w="3567" w:type="pct"/>
            <w:vAlign w:val="center"/>
          </w:tcPr>
          <w:p w:rsidR="00372C1D" w:rsidRDefault="00372C1D" w:rsidP="00372C1D">
            <w:pPr>
              <w:jc w:val="center"/>
            </w:pPr>
            <w:r w:rsidRPr="00062DEB">
              <w:rPr>
                <w:sz w:val="16"/>
                <w:szCs w:val="16"/>
              </w:rPr>
              <w:t>Unknown</w:t>
            </w:r>
          </w:p>
        </w:tc>
      </w:tr>
      <w:tr w:rsidR="00372C1D" w:rsidRPr="00D3067E" w:rsidTr="00372C1D">
        <w:trPr>
          <w:trHeight w:val="440"/>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TS-REALD</w:t>
            </w:r>
          </w:p>
        </w:tc>
        <w:tc>
          <w:tcPr>
            <w:tcW w:w="3567" w:type="pct"/>
            <w:vAlign w:val="center"/>
          </w:tcPr>
          <w:p w:rsidR="00372C1D" w:rsidRDefault="00372C1D" w:rsidP="00372C1D">
            <w:pPr>
              <w:jc w:val="center"/>
            </w:pPr>
            <w:r w:rsidRPr="00062DEB">
              <w:rPr>
                <w:sz w:val="16"/>
                <w:szCs w:val="16"/>
              </w:rPr>
              <w:t>Unknown</w:t>
            </w:r>
          </w:p>
        </w:tc>
      </w:tr>
      <w:tr w:rsidR="00155B5F" w:rsidRPr="00D3067E" w:rsidTr="003A480A">
        <w:trPr>
          <w:trHeight w:val="926"/>
        </w:trPr>
        <w:tc>
          <w:tcPr>
            <w:tcW w:w="779" w:type="pct"/>
            <w:vAlign w:val="center"/>
          </w:tcPr>
          <w:p w:rsidR="00155B5F" w:rsidRPr="00D46370" w:rsidRDefault="00155B5F" w:rsidP="003A480A">
            <w:pPr>
              <w:spacing w:line="240" w:lineRule="atLeast"/>
              <w:jc w:val="center"/>
              <w:rPr>
                <w:rFonts w:ascii="Calibri" w:eastAsia="Calibri" w:hAnsi="Calibri" w:cs="Arial"/>
              </w:rPr>
            </w:pPr>
            <w:proofErr w:type="spellStart"/>
            <w:r w:rsidRPr="00D46370">
              <w:rPr>
                <w:rFonts w:ascii="Calibri" w:eastAsia="Calibri" w:hAnsi="Calibri" w:cs="Arial"/>
              </w:rPr>
              <w:lastRenderedPageBreak/>
              <w:t>Junkes</w:t>
            </w:r>
            <w:proofErr w:type="spellEnd"/>
            <w:r w:rsidRPr="00D46370">
              <w:rPr>
                <w:rFonts w:ascii="Calibri" w:eastAsia="Calibri" w:hAnsi="Calibri" w:cs="Arial"/>
              </w:rPr>
              <w:t xml:space="preserve"> et al(2015)</w:t>
            </w:r>
          </w:p>
        </w:tc>
        <w:tc>
          <w:tcPr>
            <w:tcW w:w="654" w:type="pct"/>
            <w:vAlign w:val="center"/>
          </w:tcPr>
          <w:p w:rsidR="00155B5F" w:rsidRPr="00D3067E" w:rsidRDefault="00155B5F" w:rsidP="003A480A">
            <w:pPr>
              <w:bidi/>
              <w:spacing w:before="240" w:line="360" w:lineRule="auto"/>
              <w:jc w:val="center"/>
              <w:rPr>
                <w:bCs/>
                <w:color w:val="000000"/>
                <w:sz w:val="16"/>
                <w:szCs w:val="16"/>
              </w:rPr>
            </w:pPr>
            <w:r w:rsidRPr="00D3067E">
              <w:rPr>
                <w:sz w:val="16"/>
                <w:szCs w:val="16"/>
              </w:rPr>
              <w:t>BREALD-20</w:t>
            </w:r>
          </w:p>
        </w:tc>
        <w:tc>
          <w:tcPr>
            <w:tcW w:w="3567" w:type="pct"/>
            <w:vAlign w:val="center"/>
          </w:tcPr>
          <w:p w:rsidR="00155B5F" w:rsidRPr="00D3067E" w:rsidRDefault="00155B5F" w:rsidP="00787495">
            <w:pPr>
              <w:spacing w:before="240" w:line="360" w:lineRule="auto"/>
              <w:jc w:val="center"/>
              <w:rPr>
                <w:sz w:val="16"/>
                <w:szCs w:val="16"/>
              </w:rPr>
            </w:pPr>
            <w:r w:rsidRPr="00D3067E">
              <w:rPr>
                <w:sz w:val="16"/>
                <w:szCs w:val="16"/>
              </w:rPr>
              <w:t>The BREALD-30 demonstrated satisfactory convergent validity, as the scores correlated with the level of general literacy measured by the NFLI</w:t>
            </w:r>
            <w:r w:rsidR="00372C1D">
              <w:rPr>
                <w:sz w:val="16"/>
                <w:szCs w:val="16"/>
              </w:rPr>
              <w:t xml:space="preserve">                                     </w:t>
            </w:r>
            <w:r w:rsidRPr="00D3067E">
              <w:rPr>
                <w:sz w:val="16"/>
                <w:szCs w:val="16"/>
              </w:rPr>
              <w:t xml:space="preserve"> (</w:t>
            </w:r>
            <w:proofErr w:type="spellStart"/>
            <w:r w:rsidRPr="00D3067E">
              <w:rPr>
                <w:sz w:val="16"/>
                <w:szCs w:val="16"/>
              </w:rPr>
              <w:t>rs</w:t>
            </w:r>
            <w:proofErr w:type="spellEnd"/>
            <w:r w:rsidRPr="00D3067E">
              <w:rPr>
                <w:sz w:val="16"/>
                <w:szCs w:val="16"/>
              </w:rPr>
              <w:t xml:space="preserve"> = 0.593; p &lt; 0.001) and educational attainment (</w:t>
            </w:r>
            <w:proofErr w:type="spellStart"/>
            <w:r w:rsidRPr="00D3067E">
              <w:rPr>
                <w:sz w:val="16"/>
                <w:szCs w:val="16"/>
              </w:rPr>
              <w:t>rs</w:t>
            </w:r>
            <w:proofErr w:type="spellEnd"/>
            <w:r w:rsidRPr="00D3067E">
              <w:rPr>
                <w:sz w:val="16"/>
                <w:szCs w:val="16"/>
              </w:rPr>
              <w:t xml:space="preserve"> = 0.541; p &lt; 0.001</w:t>
            </w:r>
            <w:r w:rsidR="00787495">
              <w:rPr>
                <w:sz w:val="16"/>
                <w:szCs w:val="16"/>
              </w:rPr>
              <w:t>).</w:t>
            </w:r>
          </w:p>
        </w:tc>
      </w:tr>
      <w:tr w:rsidR="00372C1D" w:rsidRPr="00D3067E" w:rsidTr="00372C1D">
        <w:trPr>
          <w:trHeight w:val="332"/>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Parker et al.(2017)</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TREALD-30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512"/>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AREALD-30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413"/>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197"/>
        </w:trPr>
        <w:tc>
          <w:tcPr>
            <w:tcW w:w="779"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54" w:type="pct"/>
            <w:vAlign w:val="center"/>
          </w:tcPr>
          <w:p w:rsidR="00372C1D" w:rsidRPr="00D3067E" w:rsidRDefault="00372C1D" w:rsidP="00372C1D">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125"/>
        </w:trPr>
        <w:tc>
          <w:tcPr>
            <w:tcW w:w="779"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Sistani et al.(2013)</w:t>
            </w:r>
          </w:p>
        </w:tc>
        <w:tc>
          <w:tcPr>
            <w:tcW w:w="654" w:type="pct"/>
            <w:vAlign w:val="center"/>
          </w:tcPr>
          <w:p w:rsidR="00372C1D" w:rsidRPr="00D3067E" w:rsidRDefault="00372C1D" w:rsidP="00372C1D">
            <w:pPr>
              <w:spacing w:before="240" w:line="360" w:lineRule="auto"/>
              <w:jc w:val="center"/>
              <w:rPr>
                <w:bCs/>
                <w:color w:val="000000"/>
                <w:sz w:val="16"/>
                <w:szCs w:val="16"/>
              </w:rPr>
            </w:pPr>
            <w:r w:rsidRPr="00D3067E">
              <w:rPr>
                <w:sz w:val="16"/>
                <w:szCs w:val="16"/>
              </w:rPr>
              <w:t>OHL-AQ</w:t>
            </w: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593"/>
        </w:trPr>
        <w:tc>
          <w:tcPr>
            <w:tcW w:w="779" w:type="pct"/>
            <w:vAlign w:val="center"/>
          </w:tcPr>
          <w:p w:rsidR="00372C1D" w:rsidRPr="00D46370" w:rsidRDefault="00372C1D" w:rsidP="00372C1D">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OHLI-cl</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620"/>
        </w:trPr>
        <w:tc>
          <w:tcPr>
            <w:tcW w:w="779"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647"/>
        </w:trPr>
        <w:tc>
          <w:tcPr>
            <w:tcW w:w="779" w:type="pct"/>
            <w:vAlign w:val="center"/>
          </w:tcPr>
          <w:p w:rsidR="00372C1D" w:rsidRPr="00D46370" w:rsidRDefault="00372C1D" w:rsidP="00372C1D">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IREALD-99</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r w:rsidR="00372C1D" w:rsidRPr="00D3067E" w:rsidTr="00372C1D">
        <w:trPr>
          <w:trHeight w:val="422"/>
        </w:trPr>
        <w:tc>
          <w:tcPr>
            <w:tcW w:w="779" w:type="pct"/>
            <w:vAlign w:val="center"/>
          </w:tcPr>
          <w:p w:rsidR="00372C1D" w:rsidRPr="00D46370" w:rsidRDefault="00372C1D" w:rsidP="00372C1D">
            <w:pPr>
              <w:spacing w:before="240" w:line="240" w:lineRule="atLeast"/>
              <w:jc w:val="center"/>
              <w:rPr>
                <w:rFonts w:ascii="Calibri" w:eastAsia="Calibri" w:hAnsi="Calibri" w:cs="Arial"/>
              </w:rPr>
            </w:pPr>
            <w:r w:rsidRPr="00B476A4">
              <w:rPr>
                <w:bCs/>
                <w:color w:val="000000"/>
                <w:sz w:val="18"/>
                <w:szCs w:val="18"/>
              </w:rPr>
              <w:t>Atchison et al.</w:t>
            </w:r>
          </w:p>
        </w:tc>
        <w:tc>
          <w:tcPr>
            <w:tcW w:w="654" w:type="pct"/>
            <w:vAlign w:val="center"/>
          </w:tcPr>
          <w:p w:rsidR="00372C1D" w:rsidRPr="00D3067E" w:rsidRDefault="00372C1D" w:rsidP="00372C1D">
            <w:pPr>
              <w:spacing w:before="240" w:line="360" w:lineRule="auto"/>
              <w:jc w:val="center"/>
              <w:rPr>
                <w:sz w:val="16"/>
                <w:szCs w:val="16"/>
              </w:rPr>
            </w:pPr>
            <w:r w:rsidRPr="00D3067E">
              <w:rPr>
                <w:sz w:val="16"/>
                <w:szCs w:val="16"/>
              </w:rPr>
              <w:t>REALM-D</w:t>
            </w:r>
          </w:p>
          <w:p w:rsidR="00372C1D" w:rsidRPr="00D3067E" w:rsidRDefault="00372C1D" w:rsidP="00372C1D">
            <w:pPr>
              <w:spacing w:before="240" w:line="360" w:lineRule="auto"/>
              <w:jc w:val="center"/>
              <w:rPr>
                <w:sz w:val="16"/>
                <w:szCs w:val="16"/>
              </w:rPr>
            </w:pPr>
          </w:p>
        </w:tc>
        <w:tc>
          <w:tcPr>
            <w:tcW w:w="3567" w:type="pct"/>
            <w:vAlign w:val="center"/>
          </w:tcPr>
          <w:p w:rsidR="00372C1D" w:rsidRDefault="00372C1D" w:rsidP="00372C1D">
            <w:pPr>
              <w:jc w:val="center"/>
            </w:pPr>
            <w:r w:rsidRPr="000B57AB">
              <w:rPr>
                <w:sz w:val="16"/>
                <w:szCs w:val="16"/>
              </w:rPr>
              <w:t>Unknown</w:t>
            </w:r>
          </w:p>
        </w:tc>
      </w:tr>
    </w:tbl>
    <w:p w:rsidR="00082E94" w:rsidRDefault="00082E94">
      <w:pPr>
        <w:rPr>
          <w:rtl/>
        </w:rPr>
      </w:pPr>
    </w:p>
    <w:p w:rsidR="00082E94" w:rsidRDefault="00082E94">
      <w:pPr>
        <w:rPr>
          <w:rtl/>
        </w:rPr>
      </w:pPr>
      <w:r>
        <w:rPr>
          <w:rtl/>
        </w:rPr>
        <w:br w:type="page"/>
      </w:r>
      <w:r w:rsidR="003A480A">
        <w:rPr>
          <w:rFonts w:hint="cs"/>
          <w:rtl/>
        </w:rPr>
        <w:lastRenderedPageBreak/>
        <w:t>....</w:t>
      </w:r>
      <w:r w:rsidR="007C6A9A">
        <w:rPr>
          <w:rFonts w:hint="cs"/>
          <w:rtl/>
        </w:rPr>
        <w:t>.................................................</w:t>
      </w:r>
    </w:p>
    <w:tbl>
      <w:tblPr>
        <w:tblStyle w:val="TableGrid"/>
        <w:tblpPr w:leftFromText="180" w:rightFromText="180" w:vertAnchor="text" w:horzAnchor="page" w:tblpX="316" w:tblpY="152"/>
        <w:tblW w:w="5847" w:type="pct"/>
        <w:tblLook w:val="04A0" w:firstRow="1" w:lastRow="0" w:firstColumn="1" w:lastColumn="0" w:noHBand="0" w:noVBand="1"/>
      </w:tblPr>
      <w:tblGrid>
        <w:gridCol w:w="3257"/>
        <w:gridCol w:w="1889"/>
        <w:gridCol w:w="10262"/>
      </w:tblGrid>
      <w:tr w:rsidR="00082E94" w:rsidRPr="00D3067E" w:rsidTr="00082E94">
        <w:trPr>
          <w:cantSplit/>
          <w:trHeight w:val="1073"/>
        </w:trPr>
        <w:tc>
          <w:tcPr>
            <w:tcW w:w="1057"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t>Author</w:t>
            </w:r>
          </w:p>
        </w:tc>
        <w:tc>
          <w:tcPr>
            <w:tcW w:w="613"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330"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r w:rsidRPr="00D3067E">
              <w:rPr>
                <w:rFonts w:ascii="Palatino Linotype" w:hAnsi="Palatino Linotype" w:cstheme="majorBidi"/>
                <w:b/>
                <w:bCs/>
                <w:sz w:val="16"/>
                <w:szCs w:val="16"/>
              </w:rPr>
              <w:t>Reliability notes</w:t>
            </w:r>
          </w:p>
        </w:tc>
      </w:tr>
      <w:tr w:rsidR="00082E94" w:rsidRPr="00D3067E" w:rsidTr="00082E94">
        <w:trPr>
          <w:cantSplit/>
          <w:trHeight w:val="713"/>
        </w:trPr>
        <w:tc>
          <w:tcPr>
            <w:tcW w:w="1057"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613"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3330"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p>
        </w:tc>
      </w:tr>
      <w:tr w:rsidR="00155B5F" w:rsidRPr="00D3067E" w:rsidTr="007C6A9A">
        <w:trPr>
          <w:trHeight w:val="443"/>
        </w:trPr>
        <w:tc>
          <w:tcPr>
            <w:tcW w:w="1057"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613"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0.86</w:t>
            </w:r>
          </w:p>
        </w:tc>
      </w:tr>
      <w:tr w:rsidR="00155B5F" w:rsidRPr="00D3067E" w:rsidTr="00E45384">
        <w:trPr>
          <w:trHeight w:val="542"/>
        </w:trPr>
        <w:tc>
          <w:tcPr>
            <w:tcW w:w="1057"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613"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0.87</w:t>
            </w:r>
          </w:p>
        </w:tc>
      </w:tr>
      <w:tr w:rsidR="00155B5F" w:rsidRPr="00D3067E" w:rsidTr="007C6A9A">
        <w:trPr>
          <w:trHeight w:val="128"/>
        </w:trPr>
        <w:tc>
          <w:tcPr>
            <w:tcW w:w="1057" w:type="pct"/>
            <w:vAlign w:val="center"/>
          </w:tcPr>
          <w:p w:rsidR="00155B5F" w:rsidRPr="00D46370" w:rsidRDefault="00155B5F" w:rsidP="00155B5F">
            <w:pPr>
              <w:spacing w:line="240" w:lineRule="atLeast"/>
              <w:jc w:val="center"/>
              <w:rPr>
                <w:color w:val="000000"/>
              </w:rPr>
            </w:pPr>
            <w:r w:rsidRPr="00D46370">
              <w:rPr>
                <w:color w:val="000000"/>
              </w:rPr>
              <w:t>Gong et al.(2007)</w:t>
            </w:r>
          </w:p>
        </w:tc>
        <w:tc>
          <w:tcPr>
            <w:tcW w:w="613" w:type="pct"/>
            <w:vAlign w:val="center"/>
          </w:tcPr>
          <w:p w:rsidR="00155B5F" w:rsidRPr="00D3067E" w:rsidRDefault="00155B5F" w:rsidP="00155B5F">
            <w:pPr>
              <w:bidi/>
              <w:spacing w:before="240" w:line="360" w:lineRule="auto"/>
              <w:jc w:val="center"/>
              <w:rPr>
                <w:bCs/>
                <w:sz w:val="16"/>
                <w:szCs w:val="16"/>
              </w:rPr>
            </w:pPr>
            <w:proofErr w:type="spellStart"/>
            <w:r w:rsidRPr="00D3067E">
              <w:rPr>
                <w:sz w:val="16"/>
                <w:szCs w:val="16"/>
              </w:rPr>
              <w:t>ToFHLiD</w:t>
            </w:r>
            <w:proofErr w:type="spellEnd"/>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0.63</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OHLI</w:t>
            </w: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Cronbach’s alpha was 0.89</w:t>
            </w:r>
          </w:p>
          <w:p w:rsidR="00155B5F" w:rsidRPr="00D3067E" w:rsidRDefault="00155B5F" w:rsidP="00372C1D">
            <w:pPr>
              <w:spacing w:before="240" w:line="360" w:lineRule="auto"/>
              <w:jc w:val="center"/>
              <w:rPr>
                <w:sz w:val="16"/>
                <w:szCs w:val="16"/>
              </w:rPr>
            </w:pPr>
            <w:r w:rsidRPr="00D3067E">
              <w:rPr>
                <w:sz w:val="16"/>
                <w:szCs w:val="16"/>
              </w:rPr>
              <w:t>The ICC values for the total OHLI, reading comprehension and numeracy sections (&gt;0.6)</w:t>
            </w:r>
          </w:p>
        </w:tc>
      </w:tr>
      <w:tr w:rsidR="00155B5F" w:rsidRPr="00D3067E" w:rsidTr="00E45384">
        <w:trPr>
          <w:trHeight w:val="398"/>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CMOHK</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 0.74</w:t>
            </w:r>
          </w:p>
        </w:tc>
      </w:tr>
      <w:tr w:rsidR="00155B5F" w:rsidRPr="00D3067E" w:rsidTr="00082E94">
        <w:trPr>
          <w:trHeight w:val="2520"/>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The ICC value of HKREALD-30 was 0.78 (confidence intervals = 0.53–0.91), which indicated test–retest reliability, was good (ICC = 0.61–0.80).22 The internal consistency of HKREALD-30 was acceptable (Cronbach’s alpha &gt; 0.7) because the value of Cronbach’s alpha was 0.84</w:t>
            </w:r>
            <w:r w:rsidRPr="00D3067E">
              <w:rPr>
                <w:sz w:val="16"/>
                <w:szCs w:val="16"/>
                <w:rtl/>
              </w:rPr>
              <w:t>.</w:t>
            </w:r>
          </w:p>
        </w:tc>
      </w:tr>
      <w:tr w:rsidR="00155B5F" w:rsidRPr="00D3067E" w:rsidTr="007C6A9A">
        <w:trPr>
          <w:trHeight w:val="800"/>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of 0.70-0.80</w:t>
            </w:r>
          </w:p>
          <w:p w:rsidR="00155B5F" w:rsidRPr="00D3067E" w:rsidRDefault="00155B5F" w:rsidP="00155B5F">
            <w:pPr>
              <w:bidi/>
              <w:spacing w:before="240" w:line="360" w:lineRule="auto"/>
              <w:jc w:val="center"/>
              <w:rPr>
                <w:sz w:val="16"/>
                <w:szCs w:val="16"/>
              </w:rPr>
            </w:pPr>
          </w:p>
        </w:tc>
      </w:tr>
      <w:tr w:rsidR="00155B5F" w:rsidRPr="00D3067E" w:rsidTr="00E45384">
        <w:trPr>
          <w:trHeight w:val="260"/>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lastRenderedPageBreak/>
              <w:t>Gironda</w:t>
            </w:r>
            <w:proofErr w:type="spellEnd"/>
            <w:r w:rsidRPr="00D46370">
              <w:rPr>
                <w:rFonts w:ascii="Calibri" w:eastAsia="Calibri" w:hAnsi="Calibri" w:cs="Arial"/>
              </w:rPr>
              <w:t xml:space="preserve"> et al.(2013)</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 Alpha : 0.86</w:t>
            </w:r>
          </w:p>
        </w:tc>
      </w:tr>
      <w:tr w:rsidR="00155B5F" w:rsidRPr="00D3067E" w:rsidTr="00E45384">
        <w:trPr>
          <w:trHeight w:val="458"/>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Test-retest correlation: Test-retest: ICC=0.63</w:t>
            </w:r>
          </w:p>
        </w:tc>
      </w:tr>
      <w:tr w:rsidR="00155B5F" w:rsidRPr="00D3067E" w:rsidTr="00E45384">
        <w:trPr>
          <w:trHeight w:val="422"/>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613"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Cronbach's alpha: 0.91</w:t>
            </w:r>
          </w:p>
        </w:tc>
      </w:tr>
      <w:tr w:rsidR="00155B5F" w:rsidRPr="00D3067E" w:rsidTr="00E45384">
        <w:trPr>
          <w:trHeight w:val="620"/>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 xml:space="preserve">IRT: </w:t>
            </w:r>
            <w:proofErr w:type="spellStart"/>
            <w:r w:rsidRPr="00D3067E">
              <w:rPr>
                <w:sz w:val="16"/>
                <w:szCs w:val="16"/>
              </w:rPr>
              <w:t>aΔ</w:t>
            </w:r>
            <w:proofErr w:type="spellEnd"/>
            <w:r w:rsidRPr="00D3067E">
              <w:rPr>
                <w:sz w:val="16"/>
                <w:szCs w:val="16"/>
              </w:rPr>
              <w:t>=2.91 to 1.09, with mean =2.12 and SD=0.44; b□ =1.97 to -2.93, with mean =0-.02 and SD=1.42</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3330" w:type="pct"/>
            <w:vAlign w:val="center"/>
          </w:tcPr>
          <w:p w:rsidR="00155B5F" w:rsidRPr="00D3067E" w:rsidRDefault="00155B5F" w:rsidP="00372C1D">
            <w:pPr>
              <w:spacing w:before="240" w:line="360" w:lineRule="auto"/>
              <w:rPr>
                <w:sz w:val="16"/>
                <w:szCs w:val="16"/>
              </w:rPr>
            </w:pPr>
            <w:r w:rsidRPr="00D3067E">
              <w:rPr>
                <w:sz w:val="16"/>
                <w:szCs w:val="16"/>
              </w:rPr>
              <w:t>Cronbach's alpha ranged from 0.88</w:t>
            </w:r>
            <w:r w:rsidRPr="00D3067E">
              <w:rPr>
                <w:sz w:val="16"/>
                <w:szCs w:val="16"/>
                <w:rtl/>
              </w:rPr>
              <w:t xml:space="preserve"> </w:t>
            </w:r>
            <w:r w:rsidRPr="00D3067E">
              <w:rPr>
                <w:sz w:val="16"/>
                <w:szCs w:val="16"/>
              </w:rPr>
              <w:t>to 0.89 when words were deleted individually. The analysis of test-retest reliability demonstrated excellent reproducibility [ICC = 0.983 (95% CI: 0.963 to 0.993) and Kappa coefficients ranging from moderate to nearly perfect (0.42–1.00</w:t>
            </w:r>
            <w:r w:rsidR="00372C1D">
              <w:rPr>
                <w:sz w:val="16"/>
                <w:szCs w:val="16"/>
              </w:rPr>
              <w:t>)]</w:t>
            </w:r>
          </w:p>
        </w:tc>
      </w:tr>
      <w:tr w:rsidR="00155B5F" w:rsidRPr="00D3067E" w:rsidTr="007C6A9A">
        <w:trPr>
          <w:trHeight w:val="458"/>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3330" w:type="pct"/>
            <w:vAlign w:val="center"/>
          </w:tcPr>
          <w:p w:rsidR="00155B5F" w:rsidRPr="00D3067E" w:rsidRDefault="00155B5F" w:rsidP="007C6A9A">
            <w:pPr>
              <w:bidi/>
              <w:spacing w:before="240" w:line="360" w:lineRule="auto"/>
              <w:jc w:val="center"/>
              <w:rPr>
                <w:sz w:val="16"/>
                <w:szCs w:val="16"/>
              </w:rPr>
            </w:pPr>
            <w:r w:rsidRPr="00D3067E">
              <w:rPr>
                <w:sz w:val="16"/>
                <w:szCs w:val="16"/>
              </w:rPr>
              <w:t>Test-retest correlation: 0.99</w:t>
            </w:r>
            <w:r w:rsidR="007C6A9A">
              <w:rPr>
                <w:sz w:val="16"/>
                <w:szCs w:val="16"/>
              </w:rPr>
              <w:t xml:space="preserve"> , </w:t>
            </w:r>
            <w:r w:rsidRPr="00D3067E">
              <w:rPr>
                <w:sz w:val="16"/>
                <w:szCs w:val="16"/>
              </w:rPr>
              <w:t>Cronbach's alpha: 0.91</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13"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3330" w:type="pct"/>
            <w:vAlign w:val="center"/>
          </w:tcPr>
          <w:p w:rsidR="00155B5F" w:rsidRPr="00D3067E" w:rsidRDefault="00155B5F" w:rsidP="00155B5F">
            <w:pPr>
              <w:bidi/>
              <w:spacing w:before="240" w:line="360" w:lineRule="auto"/>
              <w:jc w:val="center"/>
              <w:rPr>
                <w:sz w:val="16"/>
                <w:szCs w:val="16"/>
              </w:rPr>
            </w:pPr>
            <w:r w:rsidRPr="00D3067E">
              <w:rPr>
                <w:sz w:val="16"/>
                <w:szCs w:val="16"/>
              </w:rPr>
              <w:t>The internal consistency of both the Arabic word recognition instruments was good, Cronbach’s alpha was found to be 0.89 and 0.91 for AREALD-30 and AREALD-99 respectively. The ICC used to examine the test-retest reliability was higher than 0.90 for all the instruments, indicating that there was an excellent agreement between the repeated administrations</w:t>
            </w:r>
            <w:r w:rsidR="00372C1D">
              <w:rPr>
                <w:sz w:val="16"/>
                <w:szCs w:val="16"/>
              </w:rPr>
              <w:t>.</w:t>
            </w:r>
          </w:p>
        </w:tc>
      </w:tr>
      <w:tr w:rsidR="00155B5F" w:rsidRPr="00D3067E" w:rsidTr="00372C1D">
        <w:trPr>
          <w:trHeight w:val="431"/>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372C1D">
            <w:pPr>
              <w:spacing w:before="240" w:line="360" w:lineRule="auto"/>
              <w:jc w:val="center"/>
              <w:rPr>
                <w:bCs/>
                <w:color w:val="000000"/>
                <w:sz w:val="16"/>
                <w:szCs w:val="16"/>
              </w:rPr>
            </w:pPr>
            <w:r w:rsidRPr="00D3067E">
              <w:rPr>
                <w:sz w:val="16"/>
                <w:szCs w:val="16"/>
              </w:rPr>
              <w:t>REALMD-20</w:t>
            </w:r>
          </w:p>
        </w:tc>
        <w:tc>
          <w:tcPr>
            <w:tcW w:w="3330" w:type="pct"/>
            <w:vAlign w:val="center"/>
          </w:tcPr>
          <w:p w:rsidR="00155B5F" w:rsidRPr="00D3067E" w:rsidRDefault="00155B5F" w:rsidP="007C6A9A">
            <w:pPr>
              <w:bidi/>
              <w:spacing w:before="240" w:line="360" w:lineRule="auto"/>
              <w:jc w:val="center"/>
              <w:rPr>
                <w:sz w:val="16"/>
                <w:szCs w:val="16"/>
              </w:rPr>
            </w:pPr>
            <w:r w:rsidRPr="00D3067E">
              <w:rPr>
                <w:sz w:val="16"/>
                <w:szCs w:val="16"/>
              </w:rPr>
              <w:t>Reliability: Test-retest correlation: ICC = 0.73; 95% CI</w:t>
            </w:r>
            <w:r w:rsidR="007C6A9A">
              <w:rPr>
                <w:sz w:val="16"/>
                <w:szCs w:val="16"/>
              </w:rPr>
              <w:t xml:space="preserve">, </w:t>
            </w:r>
            <w:r w:rsidRPr="00D3067E">
              <w:rPr>
                <w:sz w:val="16"/>
                <w:szCs w:val="16"/>
              </w:rPr>
              <w:t>Cronbach's alpha: 0.789</w:t>
            </w:r>
          </w:p>
          <w:p w:rsidR="00155B5F" w:rsidRPr="00D3067E" w:rsidRDefault="00155B5F" w:rsidP="00155B5F">
            <w:pPr>
              <w:bidi/>
              <w:spacing w:before="240" w:line="360" w:lineRule="auto"/>
              <w:jc w:val="center"/>
              <w:rPr>
                <w:sz w:val="16"/>
                <w:szCs w:val="16"/>
              </w:rPr>
            </w:pPr>
          </w:p>
        </w:tc>
      </w:tr>
      <w:tr w:rsidR="00155B5F" w:rsidRPr="00D3067E" w:rsidTr="00E45384">
        <w:trPr>
          <w:trHeight w:val="287"/>
        </w:trPr>
        <w:tc>
          <w:tcPr>
            <w:tcW w:w="1057"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13" w:type="pct"/>
            <w:vAlign w:val="center"/>
          </w:tcPr>
          <w:p w:rsidR="00155B5F" w:rsidRPr="00D3067E" w:rsidRDefault="00155B5F" w:rsidP="00155B5F">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330" w:type="pct"/>
            <w:vAlign w:val="center"/>
          </w:tcPr>
          <w:p w:rsidR="00155B5F" w:rsidRPr="00D3067E" w:rsidRDefault="00372C1D" w:rsidP="00155B5F">
            <w:pPr>
              <w:bidi/>
              <w:spacing w:before="240" w:line="360" w:lineRule="auto"/>
              <w:jc w:val="center"/>
              <w:rPr>
                <w:sz w:val="16"/>
                <w:szCs w:val="16"/>
              </w:rPr>
            </w:pPr>
            <w:r>
              <w:rPr>
                <w:sz w:val="16"/>
                <w:szCs w:val="16"/>
              </w:rPr>
              <w:t>U</w:t>
            </w:r>
            <w:r w:rsidR="00492399" w:rsidRPr="007C6A9A">
              <w:rPr>
                <w:sz w:val="16"/>
                <w:szCs w:val="16"/>
              </w:rPr>
              <w:t>nknown</w:t>
            </w:r>
          </w:p>
        </w:tc>
      </w:tr>
      <w:tr w:rsidR="00155B5F" w:rsidRPr="00D3067E" w:rsidTr="00082E94">
        <w:trPr>
          <w:trHeight w:val="926"/>
        </w:trPr>
        <w:tc>
          <w:tcPr>
            <w:tcW w:w="1057"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Sistani et al.(2013)</w:t>
            </w:r>
          </w:p>
        </w:tc>
        <w:tc>
          <w:tcPr>
            <w:tcW w:w="613" w:type="pct"/>
            <w:vAlign w:val="center"/>
          </w:tcPr>
          <w:p w:rsidR="00155B5F" w:rsidRPr="00D3067E" w:rsidRDefault="00155B5F" w:rsidP="00155B5F">
            <w:pPr>
              <w:spacing w:before="240" w:line="360" w:lineRule="auto"/>
              <w:jc w:val="center"/>
              <w:rPr>
                <w:bCs/>
                <w:color w:val="000000"/>
                <w:sz w:val="16"/>
                <w:szCs w:val="16"/>
              </w:rPr>
            </w:pPr>
            <w:r w:rsidRPr="00D3067E">
              <w:rPr>
                <w:sz w:val="16"/>
                <w:szCs w:val="16"/>
              </w:rPr>
              <w:t>OHL-AQ</w:t>
            </w: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The Cronbach’s alpha coefficient was found to be 0.72, and the test–retest analysis demonstrated an ICC value of 0.84, both indicating satisfactory results.</w:t>
            </w:r>
          </w:p>
        </w:tc>
      </w:tr>
      <w:tr w:rsidR="00155B5F" w:rsidRPr="00D3067E" w:rsidTr="007C6A9A">
        <w:trPr>
          <w:trHeight w:val="413"/>
        </w:trPr>
        <w:tc>
          <w:tcPr>
            <w:tcW w:w="1057" w:type="pct"/>
            <w:vAlign w:val="center"/>
          </w:tcPr>
          <w:p w:rsidR="00155B5F" w:rsidRPr="00D46370" w:rsidRDefault="00155B5F" w:rsidP="00155B5F">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OHLI-cl</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155B5F">
            <w:pPr>
              <w:spacing w:before="240" w:line="360" w:lineRule="auto"/>
              <w:jc w:val="center"/>
              <w:rPr>
                <w:sz w:val="16"/>
                <w:szCs w:val="16"/>
                <w:highlight w:val="yellow"/>
              </w:rPr>
            </w:pPr>
            <w:r w:rsidRPr="00D3067E">
              <w:rPr>
                <w:sz w:val="16"/>
                <w:szCs w:val="16"/>
              </w:rPr>
              <w:t>Cronbach's alpha: 0.887</w:t>
            </w:r>
          </w:p>
        </w:tc>
      </w:tr>
      <w:tr w:rsidR="00155B5F" w:rsidRPr="00D3067E" w:rsidTr="00E45384">
        <w:trPr>
          <w:trHeight w:val="350"/>
        </w:trPr>
        <w:tc>
          <w:tcPr>
            <w:tcW w:w="1057" w:type="pct"/>
            <w:vAlign w:val="center"/>
          </w:tcPr>
          <w:p w:rsidR="00155B5F" w:rsidRPr="00B476A4" w:rsidRDefault="00155B5F" w:rsidP="00155B5F">
            <w:pPr>
              <w:spacing w:before="240" w:line="240" w:lineRule="atLeast"/>
              <w:jc w:val="center"/>
              <w:rPr>
                <w:bCs/>
                <w:color w:val="000000"/>
                <w:sz w:val="18"/>
                <w:szCs w:val="18"/>
              </w:rPr>
            </w:pPr>
            <w:proofErr w:type="spellStart"/>
            <w:r w:rsidRPr="00B476A4">
              <w:rPr>
                <w:bCs/>
                <w:color w:val="000000"/>
                <w:sz w:val="18"/>
                <w:szCs w:val="18"/>
              </w:rPr>
              <w:lastRenderedPageBreak/>
              <w:t>Cartes</w:t>
            </w:r>
            <w:proofErr w:type="spellEnd"/>
            <w:r w:rsidRPr="00B476A4">
              <w:rPr>
                <w:bCs/>
                <w:color w:val="000000"/>
                <w:sz w:val="18"/>
                <w:szCs w:val="18"/>
              </w:rPr>
              <w:t>-Velasquez et al.</w:t>
            </w:r>
          </w:p>
          <w:p w:rsidR="00155B5F" w:rsidRPr="00D46370" w:rsidRDefault="00155B5F" w:rsidP="00155B5F">
            <w:pPr>
              <w:spacing w:line="240" w:lineRule="atLeast"/>
              <w:jc w:val="center"/>
              <w:rPr>
                <w:rFonts w:ascii="Calibri" w:eastAsia="Calibri" w:hAnsi="Calibri" w:cs="Arial"/>
              </w:rPr>
            </w:pP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Span-REALD-30</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7C6A9A">
            <w:pPr>
              <w:spacing w:before="240" w:line="360" w:lineRule="auto"/>
              <w:jc w:val="center"/>
              <w:rPr>
                <w:sz w:val="16"/>
                <w:szCs w:val="16"/>
                <w:highlight w:val="yellow"/>
              </w:rPr>
            </w:pPr>
            <w:r w:rsidRPr="00D3067E">
              <w:rPr>
                <w:sz w:val="16"/>
                <w:szCs w:val="16"/>
              </w:rPr>
              <w:t>Cronbach's alpha: 0.876</w:t>
            </w:r>
            <w:r w:rsidR="007C6A9A">
              <w:rPr>
                <w:sz w:val="16"/>
                <w:szCs w:val="16"/>
              </w:rPr>
              <w:t xml:space="preserve">, </w:t>
            </w:r>
            <w:r w:rsidRPr="00D3067E">
              <w:rPr>
                <w:sz w:val="16"/>
                <w:szCs w:val="16"/>
              </w:rPr>
              <w:t>Intra-class correlation coefficient was 0.789 for reliability</w:t>
            </w:r>
          </w:p>
        </w:tc>
      </w:tr>
      <w:tr w:rsidR="00155B5F" w:rsidRPr="00D3067E" w:rsidTr="00E45384">
        <w:trPr>
          <w:trHeight w:val="395"/>
        </w:trPr>
        <w:tc>
          <w:tcPr>
            <w:tcW w:w="1057" w:type="pct"/>
            <w:vAlign w:val="center"/>
          </w:tcPr>
          <w:p w:rsidR="00155B5F" w:rsidRPr="00D46370" w:rsidRDefault="00155B5F" w:rsidP="00155B5F">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7C6A9A">
            <w:pPr>
              <w:spacing w:before="240" w:line="360" w:lineRule="auto"/>
              <w:jc w:val="center"/>
              <w:rPr>
                <w:sz w:val="16"/>
                <w:szCs w:val="16"/>
                <w:highlight w:val="yellow"/>
              </w:rPr>
            </w:pPr>
            <w:r w:rsidRPr="00D3067E">
              <w:rPr>
                <w:sz w:val="16"/>
                <w:szCs w:val="16"/>
              </w:rPr>
              <w:t>Test-retest correlation: 0.97</w:t>
            </w:r>
            <w:r w:rsidR="007C6A9A">
              <w:rPr>
                <w:sz w:val="16"/>
                <w:szCs w:val="16"/>
              </w:rPr>
              <w:t xml:space="preserve">, </w:t>
            </w:r>
            <w:r w:rsidRPr="00D3067E">
              <w:rPr>
                <w:sz w:val="16"/>
                <w:szCs w:val="16"/>
              </w:rPr>
              <w:t>Cronbach's alpha: 0.98</w:t>
            </w:r>
          </w:p>
        </w:tc>
      </w:tr>
      <w:tr w:rsidR="00155B5F" w:rsidRPr="00D3067E" w:rsidTr="00082E94">
        <w:trPr>
          <w:trHeight w:val="926"/>
        </w:trPr>
        <w:tc>
          <w:tcPr>
            <w:tcW w:w="1057" w:type="pct"/>
            <w:vAlign w:val="center"/>
          </w:tcPr>
          <w:p w:rsidR="00155B5F" w:rsidRPr="00D46370" w:rsidRDefault="00155B5F" w:rsidP="00155B5F">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613"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3330" w:type="pct"/>
            <w:vAlign w:val="center"/>
          </w:tcPr>
          <w:p w:rsidR="00155B5F" w:rsidRPr="00D3067E" w:rsidRDefault="00155B5F" w:rsidP="00155B5F">
            <w:pPr>
              <w:spacing w:before="240" w:line="360" w:lineRule="auto"/>
              <w:jc w:val="center"/>
              <w:rPr>
                <w:sz w:val="16"/>
                <w:szCs w:val="16"/>
              </w:rPr>
            </w:pPr>
            <w:r w:rsidRPr="00D3067E">
              <w:rPr>
                <w:sz w:val="16"/>
                <w:szCs w:val="16"/>
              </w:rPr>
              <w:t>Test-retest correlation: high correlation found between initial and follow-up total scores (r= 0.95) as well as between each list (L1=0.93, L2=0.95,L3=0.87)</w:t>
            </w:r>
          </w:p>
          <w:p w:rsidR="00155B5F" w:rsidRPr="00D3067E" w:rsidRDefault="00155B5F" w:rsidP="00155B5F">
            <w:pPr>
              <w:spacing w:before="240" w:line="360" w:lineRule="auto"/>
              <w:jc w:val="center"/>
              <w:rPr>
                <w:sz w:val="16"/>
                <w:szCs w:val="16"/>
                <w:highlight w:val="yellow"/>
              </w:rPr>
            </w:pPr>
            <w:r w:rsidRPr="00D3067E">
              <w:rPr>
                <w:sz w:val="16"/>
                <w:szCs w:val="16"/>
              </w:rPr>
              <w:t>Cronbach's alpha: 0.958</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79" w:type="pct"/>
        <w:tblLook w:val="04A0" w:firstRow="1" w:lastRow="0" w:firstColumn="1" w:lastColumn="0" w:noHBand="0" w:noVBand="1"/>
      </w:tblPr>
      <w:tblGrid>
        <w:gridCol w:w="3439"/>
        <w:gridCol w:w="2068"/>
        <w:gridCol w:w="9722"/>
      </w:tblGrid>
      <w:tr w:rsidR="00082E94" w:rsidRPr="00D3067E" w:rsidTr="00082E94">
        <w:trPr>
          <w:cantSplit/>
          <w:trHeight w:val="1073"/>
        </w:trPr>
        <w:tc>
          <w:tcPr>
            <w:tcW w:w="1129" w:type="pct"/>
            <w:vMerge w:val="restart"/>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679"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3192" w:type="pct"/>
            <w:vMerge w:val="restart"/>
            <w:shd w:val="clear" w:color="auto" w:fill="D9D9D9" w:themeFill="background1" w:themeFillShade="D9"/>
            <w:vAlign w:val="center"/>
          </w:tcPr>
          <w:p w:rsidR="00082E94" w:rsidRPr="00D3067E" w:rsidRDefault="00082E94" w:rsidP="00054199">
            <w:pPr>
              <w:spacing w:before="240"/>
              <w:jc w:val="center"/>
              <w:rPr>
                <w:rFonts w:ascii="Palatino Linotype" w:hAnsi="Palatino Linotype" w:cstheme="majorBidi"/>
                <w:b/>
                <w:bCs/>
                <w:sz w:val="16"/>
                <w:szCs w:val="16"/>
              </w:rPr>
            </w:pPr>
            <w:r w:rsidRPr="00004F86">
              <w:rPr>
                <w:rFonts w:ascii="Palatino Linotype" w:hAnsi="Palatino Linotype" w:cstheme="majorBidi"/>
                <w:b/>
                <w:bCs/>
                <w:sz w:val="16"/>
                <w:szCs w:val="16"/>
              </w:rPr>
              <w:t>Construct  validity</w:t>
            </w:r>
          </w:p>
        </w:tc>
      </w:tr>
      <w:tr w:rsidR="00082E94" w:rsidRPr="00D3067E" w:rsidTr="00082E94">
        <w:trPr>
          <w:cantSplit/>
          <w:trHeight w:val="713"/>
        </w:trPr>
        <w:tc>
          <w:tcPr>
            <w:tcW w:w="1129" w:type="pct"/>
            <w:vMerge/>
            <w:shd w:val="clear" w:color="auto" w:fill="D9D9D9" w:themeFill="background1" w:themeFillShade="D9"/>
            <w:textDirection w:val="btLr"/>
            <w:vAlign w:val="center"/>
          </w:tcPr>
          <w:p w:rsidR="00082E94" w:rsidRPr="00D3067E" w:rsidRDefault="00082E94" w:rsidP="00896E59">
            <w:pPr>
              <w:bidi/>
              <w:spacing w:before="240"/>
              <w:ind w:left="113" w:right="113"/>
              <w:jc w:val="center"/>
              <w:rPr>
                <w:rFonts w:ascii="Palatino Linotype" w:hAnsi="Palatino Linotype" w:cstheme="majorBidi"/>
                <w:bCs/>
                <w:sz w:val="16"/>
                <w:szCs w:val="16"/>
              </w:rPr>
            </w:pPr>
          </w:p>
        </w:tc>
        <w:tc>
          <w:tcPr>
            <w:tcW w:w="679"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3192" w:type="pct"/>
            <w:vMerge/>
            <w:shd w:val="clear" w:color="auto" w:fill="D9D9D9" w:themeFill="background1" w:themeFillShade="D9"/>
          </w:tcPr>
          <w:p w:rsidR="00082E94" w:rsidRPr="00D3067E" w:rsidRDefault="00082E94" w:rsidP="00054199">
            <w:pPr>
              <w:spacing w:before="240"/>
              <w:jc w:val="center"/>
              <w:rPr>
                <w:rFonts w:ascii="Palatino Linotype" w:hAnsi="Palatino Linotype" w:cstheme="majorBidi"/>
                <w:b/>
                <w:bCs/>
                <w:sz w:val="16"/>
                <w:szCs w:val="16"/>
              </w:rPr>
            </w:pPr>
          </w:p>
        </w:tc>
      </w:tr>
      <w:tr w:rsidR="00155B5F" w:rsidRPr="00D3067E" w:rsidTr="007C6A9A">
        <w:trPr>
          <w:trHeight w:val="443"/>
        </w:trPr>
        <w:tc>
          <w:tcPr>
            <w:tcW w:w="1129" w:type="pct"/>
            <w:vAlign w:val="center"/>
          </w:tcPr>
          <w:p w:rsidR="00155B5F" w:rsidRPr="00D46370" w:rsidRDefault="00155B5F" w:rsidP="00155B5F">
            <w:pPr>
              <w:spacing w:line="240" w:lineRule="atLeast"/>
              <w:jc w:val="center"/>
              <w:rPr>
                <w:color w:val="000000"/>
              </w:rPr>
            </w:pPr>
            <w:r w:rsidRPr="00D46370">
              <w:rPr>
                <w:color w:val="000000"/>
              </w:rPr>
              <w:t>Richman et al(2007)</w:t>
            </w:r>
          </w:p>
        </w:tc>
        <w:tc>
          <w:tcPr>
            <w:tcW w:w="679" w:type="pct"/>
            <w:vAlign w:val="center"/>
          </w:tcPr>
          <w:p w:rsidR="00155B5F" w:rsidRPr="00D3067E" w:rsidRDefault="00155B5F" w:rsidP="00155B5F">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3192" w:type="pct"/>
            <w:vAlign w:val="center"/>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E45384">
        <w:trPr>
          <w:trHeight w:val="722"/>
        </w:trPr>
        <w:tc>
          <w:tcPr>
            <w:tcW w:w="1129" w:type="pct"/>
            <w:vAlign w:val="center"/>
          </w:tcPr>
          <w:p w:rsidR="00155B5F" w:rsidRPr="00D46370" w:rsidRDefault="00155B5F" w:rsidP="00155B5F">
            <w:pPr>
              <w:spacing w:line="240" w:lineRule="atLeast"/>
              <w:jc w:val="center"/>
              <w:rPr>
                <w:color w:val="000000"/>
              </w:rPr>
            </w:pPr>
            <w:r w:rsidRPr="00D46370">
              <w:rPr>
                <w:color w:val="000000"/>
              </w:rPr>
              <w:t>Lee et al(2007)</w:t>
            </w:r>
          </w:p>
        </w:tc>
        <w:tc>
          <w:tcPr>
            <w:tcW w:w="679" w:type="pct"/>
            <w:vAlign w:val="center"/>
          </w:tcPr>
          <w:p w:rsidR="00155B5F" w:rsidRPr="00D3067E" w:rsidRDefault="00155B5F" w:rsidP="00155B5F">
            <w:pPr>
              <w:bidi/>
              <w:spacing w:before="240" w:line="360" w:lineRule="auto"/>
              <w:jc w:val="center"/>
              <w:rPr>
                <w:bCs/>
                <w:sz w:val="16"/>
                <w:szCs w:val="16"/>
              </w:rPr>
            </w:pPr>
            <w:r w:rsidRPr="00D3067E">
              <w:rPr>
                <w:sz w:val="16"/>
                <w:szCs w:val="16"/>
              </w:rPr>
              <w:t>REALD-30</w:t>
            </w:r>
          </w:p>
        </w:tc>
        <w:tc>
          <w:tcPr>
            <w:tcW w:w="3192" w:type="pct"/>
          </w:tcPr>
          <w:p w:rsidR="00155B5F" w:rsidRPr="00D3067E" w:rsidRDefault="00155B5F" w:rsidP="00372C1D">
            <w:pPr>
              <w:spacing w:before="240" w:line="360" w:lineRule="auto"/>
              <w:jc w:val="center"/>
              <w:rPr>
                <w:sz w:val="16"/>
                <w:szCs w:val="16"/>
              </w:rPr>
            </w:pPr>
            <w:r w:rsidRPr="00D3067E">
              <w:rPr>
                <w:sz w:val="16"/>
                <w:szCs w:val="16"/>
              </w:rPr>
              <w:t>The results of the factor analysis of the words in REALD-30 showed a clear dominance of a single factor and the presence of a second. The eigenvalue for the first factor (8.78) was more than four times larger than that of the second (2.10), which was four times that of the third factor (&lt;0.5</w:t>
            </w:r>
            <w:r w:rsidR="00372C1D">
              <w:rPr>
                <w:sz w:val="16"/>
                <w:szCs w:val="16"/>
              </w:rPr>
              <w:t>).</w:t>
            </w:r>
          </w:p>
        </w:tc>
      </w:tr>
      <w:tr w:rsidR="00492399" w:rsidRPr="00D3067E" w:rsidTr="00492399">
        <w:trPr>
          <w:trHeight w:val="272"/>
        </w:trPr>
        <w:tc>
          <w:tcPr>
            <w:tcW w:w="1129" w:type="pct"/>
            <w:vAlign w:val="center"/>
          </w:tcPr>
          <w:p w:rsidR="00492399" w:rsidRPr="00D46370" w:rsidRDefault="00492399" w:rsidP="00492399">
            <w:pPr>
              <w:spacing w:line="240" w:lineRule="atLeast"/>
              <w:jc w:val="center"/>
              <w:rPr>
                <w:color w:val="000000"/>
              </w:rPr>
            </w:pPr>
            <w:r w:rsidRPr="00D46370">
              <w:rPr>
                <w:color w:val="000000"/>
              </w:rPr>
              <w:t>Gong et al.(2007)</w:t>
            </w:r>
          </w:p>
        </w:tc>
        <w:tc>
          <w:tcPr>
            <w:tcW w:w="679" w:type="pct"/>
            <w:vAlign w:val="center"/>
          </w:tcPr>
          <w:p w:rsidR="00492399" w:rsidRPr="00D3067E" w:rsidRDefault="00492399" w:rsidP="00492399">
            <w:pPr>
              <w:bidi/>
              <w:spacing w:before="240" w:line="360" w:lineRule="auto"/>
              <w:jc w:val="center"/>
              <w:rPr>
                <w:bCs/>
                <w:sz w:val="16"/>
                <w:szCs w:val="16"/>
              </w:rPr>
            </w:pPr>
            <w:proofErr w:type="spellStart"/>
            <w:r w:rsidRPr="00D3067E">
              <w:rPr>
                <w:sz w:val="16"/>
                <w:szCs w:val="16"/>
              </w:rPr>
              <w:t>ToFHLiD</w:t>
            </w:r>
            <w:proofErr w:type="spellEnd"/>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380"/>
        </w:trPr>
        <w:tc>
          <w:tcPr>
            <w:tcW w:w="1129" w:type="pct"/>
            <w:vAlign w:val="center"/>
          </w:tcPr>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679" w:type="pct"/>
            <w:vAlign w:val="center"/>
          </w:tcPr>
          <w:p w:rsidR="00492399" w:rsidRPr="00D3067E" w:rsidRDefault="00492399" w:rsidP="00492399">
            <w:pPr>
              <w:bidi/>
              <w:spacing w:before="240" w:line="360" w:lineRule="auto"/>
              <w:jc w:val="center"/>
              <w:rPr>
                <w:bCs/>
                <w:color w:val="000000"/>
                <w:sz w:val="16"/>
                <w:szCs w:val="16"/>
              </w:rPr>
            </w:pPr>
            <w:r w:rsidRPr="00D3067E">
              <w:rPr>
                <w:sz w:val="16"/>
                <w:szCs w:val="16"/>
              </w:rPr>
              <w:t>OHLI</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488"/>
        </w:trPr>
        <w:tc>
          <w:tcPr>
            <w:tcW w:w="1129" w:type="pct"/>
            <w:vAlign w:val="center"/>
          </w:tcPr>
          <w:p w:rsidR="00492399" w:rsidRPr="00D46370" w:rsidRDefault="00492399" w:rsidP="00492399">
            <w:pPr>
              <w:spacing w:line="240" w:lineRule="atLeast"/>
              <w:jc w:val="center"/>
              <w:rPr>
                <w:rFonts w:ascii="Calibri" w:eastAsia="Calibri" w:hAnsi="Calibri" w:cs="Arial"/>
              </w:rPr>
            </w:pPr>
          </w:p>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492399" w:rsidRPr="00D46370" w:rsidRDefault="00492399" w:rsidP="00492399">
            <w:pPr>
              <w:spacing w:line="240" w:lineRule="atLeast"/>
              <w:jc w:val="center"/>
              <w:rPr>
                <w:rFonts w:ascii="Calibri" w:eastAsia="Calibri" w:hAnsi="Calibri" w:cs="Arial"/>
              </w:rPr>
            </w:pPr>
          </w:p>
        </w:tc>
        <w:tc>
          <w:tcPr>
            <w:tcW w:w="679" w:type="pct"/>
            <w:vAlign w:val="center"/>
          </w:tcPr>
          <w:p w:rsidR="00492399" w:rsidRPr="00D3067E" w:rsidRDefault="00492399" w:rsidP="00492399">
            <w:pPr>
              <w:bidi/>
              <w:spacing w:before="240" w:line="360" w:lineRule="auto"/>
              <w:jc w:val="center"/>
              <w:rPr>
                <w:bCs/>
                <w:color w:val="000000"/>
                <w:sz w:val="16"/>
                <w:szCs w:val="16"/>
              </w:rPr>
            </w:pPr>
            <w:r w:rsidRPr="00D3067E">
              <w:rPr>
                <w:sz w:val="16"/>
                <w:szCs w:val="16"/>
              </w:rPr>
              <w:t>CMOHK</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155B5F" w:rsidRPr="00D3067E" w:rsidTr="00E45384">
        <w:trPr>
          <w:trHeight w:val="1982"/>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3192" w:type="pct"/>
          </w:tcPr>
          <w:p w:rsidR="00155B5F" w:rsidRPr="00D3067E" w:rsidRDefault="00372C1D" w:rsidP="00054199">
            <w:pPr>
              <w:spacing w:before="240" w:line="360" w:lineRule="auto"/>
              <w:jc w:val="center"/>
              <w:rPr>
                <w:sz w:val="16"/>
                <w:szCs w:val="16"/>
              </w:rPr>
            </w:pPr>
            <w:r w:rsidRPr="00344536">
              <w:rPr>
                <w:sz w:val="16"/>
                <w:szCs w:val="16"/>
              </w:rPr>
              <w:t>The</w:t>
            </w:r>
            <w:r w:rsidR="00155B5F" w:rsidRPr="00344536">
              <w:rPr>
                <w:sz w:val="16"/>
                <w:szCs w:val="16"/>
              </w:rPr>
              <w:t xml:space="preserve"> results of factor analysis, 47 items of the HKREALD-99 had factor loadings that did not exceed 0.3 for the rotated factor. Therefore, items such as ‘‘splint’’ and ‘‘prescription’’ were eliminated from the scale. For the 52 items remaining in the scale, 17 were deleted according to </w:t>
            </w:r>
            <w:proofErr w:type="spellStart"/>
            <w:r w:rsidR="00155B5F" w:rsidRPr="00344536">
              <w:rPr>
                <w:sz w:val="16"/>
                <w:szCs w:val="16"/>
              </w:rPr>
              <w:t>Rasch</w:t>
            </w:r>
            <w:proofErr w:type="spellEnd"/>
            <w:r w:rsidR="00155B5F" w:rsidRPr="00344536">
              <w:rPr>
                <w:sz w:val="16"/>
                <w:szCs w:val="16"/>
              </w:rPr>
              <w:t xml:space="preserve"> analysis because their </w:t>
            </w:r>
            <w:proofErr w:type="spellStart"/>
            <w:r w:rsidR="00155B5F" w:rsidRPr="00344536">
              <w:rPr>
                <w:sz w:val="16"/>
                <w:szCs w:val="16"/>
              </w:rPr>
              <w:t>infit</w:t>
            </w:r>
            <w:proofErr w:type="spellEnd"/>
            <w:r w:rsidR="00155B5F" w:rsidRPr="00344536">
              <w:rPr>
                <w:sz w:val="16"/>
                <w:szCs w:val="16"/>
              </w:rPr>
              <w:t xml:space="preserve">/outfit ZSTD was not within the range </w:t>
            </w:r>
            <w:r w:rsidRPr="00344536">
              <w:rPr>
                <w:sz w:val="16"/>
                <w:szCs w:val="16"/>
              </w:rPr>
              <w:t>of) 2</w:t>
            </w:r>
            <w:r w:rsidR="00155B5F" w:rsidRPr="00344536">
              <w:rPr>
                <w:sz w:val="16"/>
                <w:szCs w:val="16"/>
              </w:rPr>
              <w:t xml:space="preserve"> and 2, or the </w:t>
            </w:r>
            <w:proofErr w:type="spellStart"/>
            <w:r w:rsidR="00155B5F" w:rsidRPr="00344536">
              <w:rPr>
                <w:sz w:val="16"/>
                <w:szCs w:val="16"/>
              </w:rPr>
              <w:t>infit</w:t>
            </w:r>
            <w:proofErr w:type="spellEnd"/>
            <w:r w:rsidR="00155B5F" w:rsidRPr="00344536">
              <w:rPr>
                <w:sz w:val="16"/>
                <w:szCs w:val="16"/>
              </w:rPr>
              <w:t>/outfit MNSQ was outside the range of 0.70 and 1.30. In this procedure ‘‘habits’’ (outfit MNSQ = 0.41) and ‘‘analgesia’’ (outfit</w:t>
            </w:r>
            <w:r w:rsidR="00155B5F">
              <w:rPr>
                <w:sz w:val="16"/>
                <w:szCs w:val="16"/>
              </w:rPr>
              <w:t xml:space="preserve"> </w:t>
            </w:r>
            <w:r w:rsidR="00155B5F" w:rsidRPr="00344536">
              <w:rPr>
                <w:sz w:val="16"/>
                <w:szCs w:val="16"/>
              </w:rPr>
              <w:t>ZSTD = 2.38, outfit MNSQ = 2.78) were two examples of deleted items. The remaining 35 items were further examined by their frequency counts in the Chinese corpus database of dentistry developed in this study. The frequency counts of ‘‘copayment’’, ‘‘coverage’’, ‘‘biopsy’’, ‘‘malignant’’, and ‘‘neuralgia’’ were less than 0.01% and therefore eliminated.</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Lee et al.(2012)</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OHLA-S</w:t>
            </w:r>
          </w:p>
        </w:tc>
        <w:tc>
          <w:tcPr>
            <w:tcW w:w="3192"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192" w:type="pct"/>
          </w:tcPr>
          <w:p w:rsidR="00155B5F" w:rsidRPr="00D3067E" w:rsidRDefault="00155B5F" w:rsidP="00054199">
            <w:pPr>
              <w:spacing w:before="240" w:line="360" w:lineRule="auto"/>
              <w:rPr>
                <w:sz w:val="16"/>
                <w:szCs w:val="16"/>
              </w:rPr>
            </w:pPr>
            <w:r w:rsidRPr="006A4D60">
              <w:rPr>
                <w:sz w:val="16"/>
                <w:szCs w:val="16"/>
              </w:rPr>
              <w:t>The second step was to re-run the factor analysis using a</w:t>
            </w:r>
            <w:r>
              <w:rPr>
                <w:sz w:val="16"/>
                <w:szCs w:val="16"/>
              </w:rPr>
              <w:t xml:space="preserve"> </w:t>
            </w:r>
            <w:proofErr w:type="spellStart"/>
            <w:r w:rsidRPr="006A4D60">
              <w:rPr>
                <w:sz w:val="16"/>
                <w:szCs w:val="16"/>
              </w:rPr>
              <w:t>varimax</w:t>
            </w:r>
            <w:proofErr w:type="spellEnd"/>
            <w:r w:rsidRPr="006A4D60">
              <w:rPr>
                <w:sz w:val="16"/>
                <w:szCs w:val="16"/>
              </w:rPr>
              <w:t xml:space="preserve"> rotation</w:t>
            </w:r>
            <w:r w:rsidR="00372C1D">
              <w:rPr>
                <w:sz w:val="16"/>
                <w:szCs w:val="16"/>
              </w:rPr>
              <w:t xml:space="preserve"> </w:t>
            </w:r>
            <w:r w:rsidRPr="006A4D60">
              <w:rPr>
                <w:sz w:val="16"/>
                <w:szCs w:val="16"/>
              </w:rPr>
              <w:t>method,</w:t>
            </w:r>
            <w:r w:rsidR="00372C1D">
              <w:rPr>
                <w:sz w:val="16"/>
                <w:szCs w:val="16"/>
              </w:rPr>
              <w:t xml:space="preserve"> </w:t>
            </w:r>
            <w:r w:rsidRPr="006A4D60">
              <w:rPr>
                <w:sz w:val="16"/>
                <w:szCs w:val="16"/>
              </w:rPr>
              <w:t xml:space="preserve">with the remaining 11 dental terms (anesthetic, abscess, amalgam, caries, calculus, dentures, gingivitis, extraction, insurance, hygiene, and periodontitis) and adding the 8REALM-Rmedical terms (fatigue, </w:t>
            </w:r>
            <w:r w:rsidRPr="006A4D60">
              <w:rPr>
                <w:sz w:val="16"/>
                <w:szCs w:val="16"/>
              </w:rPr>
              <w:lastRenderedPageBreak/>
              <w:t>directed, jaundice, allergic, constipation, anemia, colitis, osteoporosis), plus depression. Two factors emerged, explaining 45 percent of the total variance of the 20-item list with 7.14 and 1.77 eigenvalues (see Table 1). The first factor consists of 10 less difficult items (abscess, dentures, hygiene, insurance, extraction, fatigue, directed, allergic, constipation, and depression) with 5 dental terms and 5 medical/mental health terms</w:t>
            </w:r>
            <w:r w:rsidRPr="006A4D60">
              <w:rPr>
                <w:sz w:val="16"/>
                <w:szCs w:val="16"/>
                <w:rtl/>
              </w:rPr>
              <w:t>.</w:t>
            </w:r>
          </w:p>
        </w:tc>
      </w:tr>
      <w:tr w:rsidR="00155B5F" w:rsidRPr="00D3067E" w:rsidTr="00E45384">
        <w:trPr>
          <w:trHeight w:val="503"/>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lastRenderedPageBreak/>
              <w:t>Wong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Bridges et al</w:t>
            </w: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(2013)</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HKOHLAT-P</w:t>
            </w:r>
          </w:p>
        </w:tc>
        <w:tc>
          <w:tcPr>
            <w:tcW w:w="3192" w:type="pct"/>
          </w:tcPr>
          <w:p w:rsidR="00155B5F" w:rsidRPr="00D3067E" w:rsidRDefault="00372C1D" w:rsidP="00054199">
            <w:pPr>
              <w:spacing w:before="240" w:line="360" w:lineRule="auto"/>
              <w:jc w:val="center"/>
              <w:rPr>
                <w:sz w:val="16"/>
                <w:szCs w:val="16"/>
              </w:rPr>
            </w:pPr>
            <w:r>
              <w:rPr>
                <w:sz w:val="16"/>
                <w:szCs w:val="16"/>
              </w:rPr>
              <w:t>U</w:t>
            </w:r>
            <w:r w:rsidRPr="007C6A9A">
              <w:rPr>
                <w:sz w:val="16"/>
                <w:szCs w:val="16"/>
              </w:rPr>
              <w:t>nknown</w:t>
            </w:r>
          </w:p>
        </w:tc>
      </w:tr>
      <w:tr w:rsidR="00155B5F" w:rsidRPr="00D3067E" w:rsidTr="00372C1D">
        <w:trPr>
          <w:trHeight w:val="917"/>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Jones et al.(2013)</w:t>
            </w:r>
          </w:p>
        </w:tc>
        <w:tc>
          <w:tcPr>
            <w:tcW w:w="679" w:type="pct"/>
            <w:vAlign w:val="center"/>
          </w:tcPr>
          <w:p w:rsidR="00155B5F" w:rsidRPr="00D3067E" w:rsidRDefault="00155B5F" w:rsidP="00155B5F">
            <w:pPr>
              <w:bidi/>
              <w:spacing w:before="240" w:line="360" w:lineRule="auto"/>
              <w:jc w:val="center"/>
              <w:rPr>
                <w:bCs/>
                <w:color w:val="000000"/>
                <w:sz w:val="16"/>
                <w:szCs w:val="16"/>
              </w:rPr>
            </w:pPr>
            <w:proofErr w:type="spellStart"/>
            <w:r w:rsidRPr="00D3067E">
              <w:rPr>
                <w:sz w:val="16"/>
                <w:szCs w:val="16"/>
              </w:rPr>
              <w:t>HeLD</w:t>
            </w:r>
            <w:proofErr w:type="spellEnd"/>
          </w:p>
        </w:tc>
        <w:tc>
          <w:tcPr>
            <w:tcW w:w="3192" w:type="pct"/>
          </w:tcPr>
          <w:p w:rsidR="00155B5F" w:rsidRPr="006A4D60" w:rsidRDefault="00155B5F" w:rsidP="00E45384">
            <w:pPr>
              <w:spacing w:before="240" w:line="360" w:lineRule="auto"/>
              <w:rPr>
                <w:sz w:val="16"/>
                <w:szCs w:val="16"/>
              </w:rPr>
            </w:pPr>
            <w:r w:rsidRPr="006A4D60">
              <w:rPr>
                <w:sz w:val="16"/>
                <w:szCs w:val="16"/>
              </w:rPr>
              <w:t>Exploratory factor analysis extracted seven inter-correlated factors with eigenvalues &gt;1</w:t>
            </w:r>
            <w:r w:rsidR="00E45384">
              <w:rPr>
                <w:sz w:val="16"/>
                <w:szCs w:val="16"/>
              </w:rPr>
              <w:t xml:space="preserve">, </w:t>
            </w:r>
            <w:r w:rsidRPr="006A4D60">
              <w:rPr>
                <w:sz w:val="16"/>
                <w:szCs w:val="16"/>
              </w:rPr>
              <w:t>Kaiser-Meyer-</w:t>
            </w:r>
            <w:proofErr w:type="spellStart"/>
            <w:r w:rsidRPr="006A4D60">
              <w:rPr>
                <w:sz w:val="16"/>
                <w:szCs w:val="16"/>
              </w:rPr>
              <w:t>Olkin´s</w:t>
            </w:r>
            <w:proofErr w:type="spellEnd"/>
            <w:r w:rsidRPr="006A4D60">
              <w:rPr>
                <w:sz w:val="16"/>
                <w:szCs w:val="16"/>
              </w:rPr>
              <w:t xml:space="preserve"> test: </w:t>
            </w:r>
            <w:r>
              <w:rPr>
                <w:sz w:val="16"/>
                <w:szCs w:val="16"/>
              </w:rPr>
              <w:t>0.839</w:t>
            </w:r>
            <w:r w:rsidR="007C6A9A">
              <w:rPr>
                <w:sz w:val="16"/>
                <w:szCs w:val="16"/>
              </w:rPr>
              <w:t xml:space="preserve"> , </w:t>
            </w:r>
            <w:r w:rsidRPr="006A4D60">
              <w:rPr>
                <w:sz w:val="16"/>
                <w:szCs w:val="16"/>
              </w:rPr>
              <w:t xml:space="preserve">Bartlett´s test of </w:t>
            </w:r>
            <w:proofErr w:type="spellStart"/>
            <w:r w:rsidRPr="006A4D60">
              <w:rPr>
                <w:sz w:val="16"/>
                <w:szCs w:val="16"/>
              </w:rPr>
              <w:t>sphericity</w:t>
            </w:r>
            <w:proofErr w:type="spellEnd"/>
            <w:r>
              <w:rPr>
                <w:sz w:val="16"/>
                <w:szCs w:val="16"/>
              </w:rPr>
              <w:t>: &lt;0.011</w:t>
            </w:r>
          </w:p>
          <w:p w:rsidR="00155B5F" w:rsidRPr="00D3067E" w:rsidRDefault="00155B5F" w:rsidP="00054199">
            <w:pPr>
              <w:spacing w:before="240" w:line="360" w:lineRule="auto"/>
              <w:jc w:val="center"/>
              <w:rPr>
                <w:sz w:val="16"/>
                <w:szCs w:val="16"/>
              </w:rPr>
            </w:pP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TS-REALD</w:t>
            </w:r>
          </w:p>
        </w:tc>
        <w:tc>
          <w:tcPr>
            <w:tcW w:w="3192" w:type="pct"/>
          </w:tcPr>
          <w:p w:rsidR="00155B5F" w:rsidRPr="00D3067E" w:rsidRDefault="00155B5F" w:rsidP="00372C1D">
            <w:pPr>
              <w:spacing w:before="240" w:line="360" w:lineRule="auto"/>
              <w:rPr>
                <w:sz w:val="16"/>
                <w:szCs w:val="16"/>
              </w:rPr>
            </w:pPr>
            <w:r w:rsidRPr="006A4D60">
              <w:rPr>
                <w:sz w:val="16"/>
                <w:szCs w:val="16"/>
              </w:rPr>
              <w:t>After removing the three items, a 27-item CFA</w:t>
            </w:r>
            <w:r w:rsidR="007C6A9A">
              <w:rPr>
                <w:sz w:val="16"/>
                <w:szCs w:val="16"/>
              </w:rPr>
              <w:t xml:space="preserve"> </w:t>
            </w:r>
            <w:r w:rsidRPr="006A4D60">
              <w:rPr>
                <w:sz w:val="16"/>
                <w:szCs w:val="16"/>
              </w:rPr>
              <w:t>model was fit to the data (including a residual correlation between the item pair brush and floss). The resulting model was found to closely fit the data according to commonly used assessments of model fit (16–18): v2</w:t>
            </w:r>
            <w:r w:rsidR="007C6A9A">
              <w:rPr>
                <w:sz w:val="16"/>
                <w:szCs w:val="16"/>
              </w:rPr>
              <w:t xml:space="preserve"> </w:t>
            </w:r>
            <w:r w:rsidRPr="006A4D60">
              <w:rPr>
                <w:sz w:val="16"/>
                <w:szCs w:val="16"/>
              </w:rPr>
              <w:t>ð114Þ = 613</w:t>
            </w:r>
            <w:r w:rsidR="00372C1D" w:rsidRPr="006A4D60">
              <w:rPr>
                <w:sz w:val="16"/>
                <w:szCs w:val="16"/>
              </w:rPr>
              <w:t>, CFI</w:t>
            </w:r>
            <w:r w:rsidRPr="006A4D60">
              <w:rPr>
                <w:sz w:val="16"/>
                <w:szCs w:val="16"/>
              </w:rPr>
              <w:t xml:space="preserve"> = 0.95, TLI =</w:t>
            </w:r>
            <w:r w:rsidR="00372C1D">
              <w:rPr>
                <w:sz w:val="16"/>
                <w:szCs w:val="16"/>
              </w:rPr>
              <w:t xml:space="preserve">0.97 </w:t>
            </w:r>
            <w:r w:rsidRPr="006A4D60">
              <w:rPr>
                <w:sz w:val="16"/>
                <w:szCs w:val="16"/>
              </w:rPr>
              <w:t xml:space="preserve">RMSEA = 0.056. To ensure </w:t>
            </w:r>
            <w:proofErr w:type="spellStart"/>
            <w:r w:rsidRPr="006A4D60">
              <w:rPr>
                <w:sz w:val="16"/>
                <w:szCs w:val="16"/>
              </w:rPr>
              <w:t>unidimensionality</w:t>
            </w:r>
            <w:proofErr w:type="spellEnd"/>
            <w:r w:rsidRPr="006A4D60">
              <w:rPr>
                <w:sz w:val="16"/>
                <w:szCs w:val="16"/>
              </w:rPr>
              <w:t>, the item brush was set aside from the single item pair, resulting in 26 unidimensional items to be calibrated</w:t>
            </w:r>
            <w:r w:rsidRPr="006A4D60">
              <w:rPr>
                <w:sz w:val="16"/>
                <w:szCs w:val="16"/>
                <w:rtl/>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3192" w:type="pct"/>
          </w:tcPr>
          <w:p w:rsidR="00155B5F" w:rsidRPr="00D3067E" w:rsidRDefault="00372C1D" w:rsidP="00054199">
            <w:pPr>
              <w:spacing w:before="240" w:line="360" w:lineRule="auto"/>
              <w:rPr>
                <w:sz w:val="16"/>
                <w:szCs w:val="16"/>
              </w:rPr>
            </w:pPr>
            <w:r w:rsidRPr="00966D36">
              <w:rPr>
                <w:sz w:val="16"/>
                <w:szCs w:val="16"/>
              </w:rPr>
              <w:t>Regarding</w:t>
            </w:r>
            <w:r w:rsidR="00155B5F" w:rsidRPr="00966D36">
              <w:rPr>
                <w:sz w:val="16"/>
                <w:szCs w:val="16"/>
              </w:rPr>
              <w:t xml:space="preserve"> construct validity, the exploratory factor analysis of</w:t>
            </w:r>
            <w:r w:rsidR="00155B5F">
              <w:rPr>
                <w:sz w:val="16"/>
                <w:szCs w:val="16"/>
              </w:rPr>
              <w:t xml:space="preserve"> </w:t>
            </w:r>
            <w:r w:rsidR="00155B5F" w:rsidRPr="00966D36">
              <w:rPr>
                <w:sz w:val="16"/>
                <w:szCs w:val="16"/>
              </w:rPr>
              <w:t>the words on the BREALD30 demonstrated the undeniable predominance of</w:t>
            </w:r>
            <w:r w:rsidR="00155B5F">
              <w:rPr>
                <w:sz w:val="16"/>
                <w:szCs w:val="16"/>
              </w:rPr>
              <w:t xml:space="preserve"> </w:t>
            </w:r>
            <w:r w:rsidR="00155B5F" w:rsidRPr="00966D36">
              <w:rPr>
                <w:sz w:val="16"/>
                <w:szCs w:val="16"/>
              </w:rPr>
              <w:t>one factor. The eigenvalue for the first factor (7.36) was approximately fourfold greater than that for the second factor (1.88), which was similar to the eigenvalue for the third factor (1.62). The scree plot also demonstrated the clear predominance of</w:t>
            </w:r>
            <w:r>
              <w:rPr>
                <w:sz w:val="16"/>
                <w:szCs w:val="16"/>
              </w:rPr>
              <w:t xml:space="preserve"> </w:t>
            </w:r>
            <w:r w:rsidR="00155B5F" w:rsidRPr="00966D36">
              <w:rPr>
                <w:sz w:val="16"/>
                <w:szCs w:val="16"/>
              </w:rPr>
              <w:t>one factor. Based on the Kaiser criterion, only factors with eigenvalues greater than one were extracted; as those with lower values contribute little to explaining the variance in the original variables [22]. Factor I (nine words) accounted for 24.5% of</w:t>
            </w:r>
            <w:r>
              <w:rPr>
                <w:sz w:val="16"/>
                <w:szCs w:val="16"/>
              </w:rPr>
              <w:t xml:space="preserve"> </w:t>
            </w:r>
            <w:r w:rsidR="00155B5F" w:rsidRPr="00966D36">
              <w:rPr>
                <w:sz w:val="16"/>
                <w:szCs w:val="16"/>
              </w:rPr>
              <w:t xml:space="preserve">the variance and included the words analgesia, endodontics, malocclusion, abscess, fistula, hyperemia, orthodontics, hypoplasia and </w:t>
            </w:r>
            <w:proofErr w:type="spellStart"/>
            <w:r w:rsidR="00155B5F" w:rsidRPr="00966D36">
              <w:rPr>
                <w:sz w:val="16"/>
                <w:szCs w:val="16"/>
              </w:rPr>
              <w:t>apicectomy</w:t>
            </w:r>
            <w:proofErr w:type="spellEnd"/>
            <w:r w:rsidR="00155B5F" w:rsidRPr="00966D36">
              <w:rPr>
                <w:sz w:val="16"/>
                <w:szCs w:val="16"/>
              </w:rPr>
              <w:t>. Factor II accounted for 6.3% of</w:t>
            </w:r>
            <w:r>
              <w:rPr>
                <w:sz w:val="16"/>
                <w:szCs w:val="16"/>
              </w:rPr>
              <w:t xml:space="preserve"> </w:t>
            </w:r>
            <w:r w:rsidR="00155B5F" w:rsidRPr="00966D36">
              <w:rPr>
                <w:sz w:val="16"/>
                <w:szCs w:val="16"/>
              </w:rPr>
              <w:t>the variance and included the words teeth, erosion, restoration, biopsy, bruxism, periodontal and film. A minimum of</w:t>
            </w:r>
            <w:r>
              <w:rPr>
                <w:sz w:val="16"/>
                <w:szCs w:val="16"/>
              </w:rPr>
              <w:t xml:space="preserve"> </w:t>
            </w:r>
            <w:r w:rsidR="00155B5F" w:rsidRPr="00966D36">
              <w:rPr>
                <w:sz w:val="16"/>
                <w:szCs w:val="16"/>
              </w:rPr>
              <w:t>seven factors were necessary to explain 50% of</w:t>
            </w:r>
            <w:r>
              <w:rPr>
                <w:sz w:val="16"/>
                <w:szCs w:val="16"/>
              </w:rPr>
              <w:t xml:space="preserve"> </w:t>
            </w:r>
            <w:r w:rsidR="00155B5F" w:rsidRPr="00966D36">
              <w:rPr>
                <w:sz w:val="16"/>
                <w:szCs w:val="16"/>
              </w:rPr>
              <w:t>the total variance.</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r w:rsidRPr="00D46370">
              <w:rPr>
                <w:rFonts w:ascii="Calibri" w:eastAsia="Calibri" w:hAnsi="Calibri" w:cs="Arial"/>
              </w:rPr>
              <w:t>Parker et al.(2017)</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3192" w:type="pct"/>
          </w:tcPr>
          <w:p w:rsidR="00155B5F" w:rsidRPr="00D3067E" w:rsidRDefault="00155B5F" w:rsidP="00372C1D">
            <w:pPr>
              <w:spacing w:before="240" w:line="360" w:lineRule="auto"/>
              <w:jc w:val="center"/>
              <w:rPr>
                <w:sz w:val="16"/>
                <w:szCs w:val="16"/>
              </w:rPr>
            </w:pPr>
            <w:r w:rsidRPr="00966D36">
              <w:rPr>
                <w:sz w:val="16"/>
                <w:szCs w:val="16"/>
              </w:rPr>
              <w:t>The results of CFA indicated that the two-factor model demonstrated a better fit than did the one-factor model (v2/df¼1.34, CFI¼0.89, IFI ¼0.90, TLI¼0.89, and RMSEA¼0.052</w:t>
            </w:r>
            <w:r w:rsidR="00372C1D">
              <w:rPr>
                <w:sz w:val="16"/>
                <w:szCs w:val="16"/>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3192" w:type="pct"/>
          </w:tcPr>
          <w:p w:rsidR="00155B5F" w:rsidRPr="00D3067E" w:rsidRDefault="00155B5F" w:rsidP="00054199">
            <w:pPr>
              <w:spacing w:before="240" w:line="360" w:lineRule="auto"/>
              <w:jc w:val="center"/>
              <w:rPr>
                <w:sz w:val="16"/>
                <w:szCs w:val="16"/>
              </w:rPr>
            </w:pPr>
            <w:r w:rsidRPr="00966D36">
              <w:rPr>
                <w:sz w:val="16"/>
                <w:szCs w:val="16"/>
              </w:rPr>
              <w:t xml:space="preserve">CFA showed presence of two factors and </w:t>
            </w:r>
            <w:r w:rsidR="00372C1D" w:rsidRPr="00966D36">
              <w:rPr>
                <w:sz w:val="16"/>
                <w:szCs w:val="16"/>
              </w:rPr>
              <w:t>in fit</w:t>
            </w:r>
            <w:r w:rsidRPr="00966D36">
              <w:rPr>
                <w:sz w:val="16"/>
                <w:szCs w:val="16"/>
              </w:rPr>
              <w:t xml:space="preserve"> mean-square statistics for AREALD-30 were all within the desired range of 0.50 - 2.0 in </w:t>
            </w:r>
            <w:proofErr w:type="spellStart"/>
            <w:r w:rsidRPr="00966D36">
              <w:rPr>
                <w:sz w:val="16"/>
                <w:szCs w:val="16"/>
              </w:rPr>
              <w:t>Rasch</w:t>
            </w:r>
            <w:proofErr w:type="spellEnd"/>
            <w:r w:rsidRPr="00966D36">
              <w:rPr>
                <w:sz w:val="16"/>
                <w:szCs w:val="16"/>
              </w:rPr>
              <w:t xml:space="preserve"> analysis</w:t>
            </w:r>
            <w:r w:rsidRPr="00966D36">
              <w:rPr>
                <w:sz w:val="16"/>
                <w:szCs w:val="16"/>
                <w:rtl/>
              </w:rPr>
              <w:t>.</w:t>
            </w:r>
          </w:p>
        </w:tc>
      </w:tr>
      <w:tr w:rsidR="00155B5F" w:rsidRPr="00D3067E" w:rsidTr="00082E94">
        <w:trPr>
          <w:trHeight w:val="926"/>
        </w:trPr>
        <w:tc>
          <w:tcPr>
            <w:tcW w:w="1129" w:type="pct"/>
            <w:vAlign w:val="center"/>
          </w:tcPr>
          <w:p w:rsidR="00155B5F" w:rsidRPr="00D46370" w:rsidRDefault="00155B5F" w:rsidP="00155B5F">
            <w:pPr>
              <w:spacing w:line="240" w:lineRule="atLeast"/>
              <w:jc w:val="center"/>
              <w:rPr>
                <w:rFonts w:ascii="Calibri" w:eastAsia="Calibri" w:hAnsi="Calibri" w:cs="Arial"/>
              </w:rPr>
            </w:pPr>
          </w:p>
          <w:p w:rsidR="00155B5F" w:rsidRPr="00D46370" w:rsidRDefault="00155B5F" w:rsidP="00155B5F">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155B5F">
            <w:pPr>
              <w:spacing w:line="240" w:lineRule="atLeast"/>
              <w:jc w:val="center"/>
              <w:rPr>
                <w:rFonts w:ascii="Calibri" w:eastAsia="Calibri" w:hAnsi="Calibri" w:cs="Arial"/>
              </w:rPr>
            </w:pPr>
          </w:p>
        </w:tc>
        <w:tc>
          <w:tcPr>
            <w:tcW w:w="679"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3192" w:type="pct"/>
          </w:tcPr>
          <w:p w:rsidR="00155B5F" w:rsidRPr="00D3067E" w:rsidRDefault="00155B5F" w:rsidP="00054199">
            <w:pPr>
              <w:spacing w:before="240" w:line="360" w:lineRule="auto"/>
              <w:rPr>
                <w:sz w:val="16"/>
                <w:szCs w:val="16"/>
              </w:rPr>
            </w:pPr>
            <w:r w:rsidRPr="00966D36">
              <w:rPr>
                <w:sz w:val="16"/>
                <w:szCs w:val="16"/>
              </w:rPr>
              <w:t>In the factor analysis, it was observed an adequate sample size (KMO = 0.73) with</w:t>
            </w:r>
            <w:r>
              <w:rPr>
                <w:sz w:val="16"/>
                <w:szCs w:val="16"/>
              </w:rPr>
              <w:t xml:space="preserve"> </w:t>
            </w:r>
            <w:r w:rsidRPr="00966D36">
              <w:rPr>
                <w:sz w:val="16"/>
                <w:szCs w:val="16"/>
              </w:rPr>
              <w:t xml:space="preserve">a non-identity correlation matrix (Bartlett’s test of </w:t>
            </w:r>
            <w:proofErr w:type="spellStart"/>
            <w:r w:rsidRPr="00966D36">
              <w:rPr>
                <w:sz w:val="16"/>
                <w:szCs w:val="16"/>
              </w:rPr>
              <w:t>sphericity</w:t>
            </w:r>
            <w:proofErr w:type="spellEnd"/>
            <w:r w:rsidRPr="00966D36">
              <w:rPr>
                <w:sz w:val="16"/>
                <w:szCs w:val="16"/>
              </w:rPr>
              <w:t xml:space="preserve">, P &lt; 0.001), and no influence of </w:t>
            </w:r>
            <w:proofErr w:type="spellStart"/>
            <w:r w:rsidRPr="00966D36">
              <w:rPr>
                <w:sz w:val="16"/>
                <w:szCs w:val="16"/>
              </w:rPr>
              <w:t>multicollinearity</w:t>
            </w:r>
            <w:proofErr w:type="spellEnd"/>
            <w:r w:rsidRPr="00966D36">
              <w:rPr>
                <w:sz w:val="16"/>
                <w:szCs w:val="16"/>
              </w:rPr>
              <w:t xml:space="preserve"> (determinant = 0.004). Six factors with eigenvalues &gt;1.0</w:t>
            </w:r>
            <w:r>
              <w:rPr>
                <w:sz w:val="16"/>
                <w:szCs w:val="16"/>
              </w:rPr>
              <w:t xml:space="preserve"> </w:t>
            </w:r>
            <w:r w:rsidRPr="003F70EE">
              <w:rPr>
                <w:sz w:val="16"/>
                <w:szCs w:val="16"/>
              </w:rPr>
              <w:t xml:space="preserve">were extracted: the factor I (eigenvalue = </w:t>
            </w:r>
            <w:r w:rsidRPr="003F70EE">
              <w:rPr>
                <w:sz w:val="16"/>
                <w:szCs w:val="16"/>
              </w:rPr>
              <w:lastRenderedPageBreak/>
              <w:t>4.53) comprised four terms—‘‘Jaundice’’, ‘‘Amalgam’’, ‘‘Periodontitis’’ and ‘‘Abscess’’—accounted for 25.18% of total variance, while</w:t>
            </w:r>
            <w:r w:rsidR="007C6A9A">
              <w:rPr>
                <w:sz w:val="16"/>
                <w:szCs w:val="16"/>
              </w:rPr>
              <w:t xml:space="preserve"> </w:t>
            </w:r>
            <w:r w:rsidRPr="003F70EE">
              <w:rPr>
                <w:sz w:val="16"/>
                <w:szCs w:val="16"/>
              </w:rPr>
              <w:t>the factor II (eigenvalue = 1.88) comprised other four terms—‘‘Gingivitis’’, ‘‘Instruction’’, ‘‘Osteoporosis’’ and ‘‘Constipation’’—accounted for 10.46% of total variance. The first four</w:t>
            </w:r>
            <w:r w:rsidR="007C6A9A">
              <w:rPr>
                <w:sz w:val="16"/>
                <w:szCs w:val="16"/>
              </w:rPr>
              <w:t xml:space="preserve"> </w:t>
            </w:r>
            <w:r w:rsidRPr="003F70EE">
              <w:rPr>
                <w:sz w:val="16"/>
                <w:szCs w:val="16"/>
              </w:rPr>
              <w:t>factors accounted for 52.1% of total variance.</w:t>
            </w:r>
          </w:p>
        </w:tc>
      </w:tr>
      <w:tr w:rsidR="00492399" w:rsidRPr="00D3067E" w:rsidTr="00492399">
        <w:trPr>
          <w:trHeight w:val="332"/>
        </w:trPr>
        <w:tc>
          <w:tcPr>
            <w:tcW w:w="1129" w:type="pct"/>
            <w:vAlign w:val="center"/>
          </w:tcPr>
          <w:p w:rsidR="00492399" w:rsidRPr="00D46370" w:rsidRDefault="00492399" w:rsidP="00492399">
            <w:pPr>
              <w:spacing w:line="240" w:lineRule="atLeast"/>
              <w:jc w:val="center"/>
              <w:rPr>
                <w:rFonts w:ascii="Calibri" w:eastAsia="Calibri" w:hAnsi="Calibri" w:cs="Arial"/>
              </w:rPr>
            </w:pPr>
          </w:p>
          <w:p w:rsidR="00492399" w:rsidRPr="00D46370" w:rsidRDefault="00492399" w:rsidP="00492399">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679" w:type="pct"/>
            <w:vAlign w:val="center"/>
          </w:tcPr>
          <w:p w:rsidR="00492399" w:rsidRPr="00D3067E" w:rsidRDefault="00492399" w:rsidP="00492399">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440"/>
        </w:trPr>
        <w:tc>
          <w:tcPr>
            <w:tcW w:w="1129" w:type="pct"/>
            <w:vAlign w:val="center"/>
          </w:tcPr>
          <w:p w:rsidR="00492399" w:rsidRPr="00D46370" w:rsidRDefault="00492399" w:rsidP="00492399">
            <w:pPr>
              <w:spacing w:line="240" w:lineRule="atLeast"/>
              <w:jc w:val="center"/>
              <w:rPr>
                <w:rFonts w:ascii="Calibri" w:eastAsia="Calibri" w:hAnsi="Calibri" w:cs="Arial"/>
              </w:rPr>
            </w:pPr>
            <w:r w:rsidRPr="00D46370">
              <w:rPr>
                <w:rFonts w:ascii="Calibri" w:eastAsia="Calibri" w:hAnsi="Calibri" w:cs="Arial"/>
              </w:rPr>
              <w:t>Sistani et al.(2013)</w:t>
            </w:r>
          </w:p>
        </w:tc>
        <w:tc>
          <w:tcPr>
            <w:tcW w:w="679" w:type="pct"/>
            <w:vAlign w:val="center"/>
          </w:tcPr>
          <w:p w:rsidR="00492399" w:rsidRPr="00D3067E" w:rsidRDefault="00492399" w:rsidP="00492399">
            <w:pPr>
              <w:spacing w:before="240" w:line="360" w:lineRule="auto"/>
              <w:jc w:val="center"/>
              <w:rPr>
                <w:bCs/>
                <w:color w:val="000000"/>
                <w:sz w:val="16"/>
                <w:szCs w:val="16"/>
              </w:rPr>
            </w:pPr>
            <w:r w:rsidRPr="00D3067E">
              <w:rPr>
                <w:sz w:val="16"/>
                <w:szCs w:val="16"/>
              </w:rPr>
              <w:t>OHL-AQ</w:t>
            </w: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492399" w:rsidRPr="00D3067E" w:rsidTr="00492399">
        <w:trPr>
          <w:trHeight w:val="602"/>
        </w:trPr>
        <w:tc>
          <w:tcPr>
            <w:tcW w:w="1129" w:type="pct"/>
            <w:vAlign w:val="center"/>
          </w:tcPr>
          <w:p w:rsidR="00492399" w:rsidRPr="00D46370" w:rsidRDefault="00492399" w:rsidP="00492399">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r w:rsidRPr="00D46370">
              <w:rPr>
                <w:rFonts w:ascii="Calibri" w:eastAsia="Calibri" w:hAnsi="Calibri" w:cs="Arial"/>
              </w:rPr>
              <w:t xml:space="preserve"> </w:t>
            </w:r>
          </w:p>
        </w:tc>
        <w:tc>
          <w:tcPr>
            <w:tcW w:w="679" w:type="pct"/>
            <w:vAlign w:val="center"/>
          </w:tcPr>
          <w:p w:rsidR="00492399" w:rsidRPr="00D3067E" w:rsidRDefault="00492399" w:rsidP="00492399">
            <w:pPr>
              <w:spacing w:before="240" w:line="360" w:lineRule="auto"/>
              <w:jc w:val="center"/>
              <w:rPr>
                <w:sz w:val="16"/>
                <w:szCs w:val="16"/>
              </w:rPr>
            </w:pPr>
            <w:r w:rsidRPr="00D3067E">
              <w:rPr>
                <w:sz w:val="16"/>
                <w:szCs w:val="16"/>
              </w:rPr>
              <w:t>OHLI-cl</w:t>
            </w:r>
          </w:p>
          <w:p w:rsidR="00492399" w:rsidRPr="00D3067E" w:rsidRDefault="00492399" w:rsidP="00492399">
            <w:pPr>
              <w:spacing w:before="240" w:line="360" w:lineRule="auto"/>
              <w:jc w:val="center"/>
              <w:rPr>
                <w:sz w:val="16"/>
                <w:szCs w:val="16"/>
              </w:rPr>
            </w:pPr>
          </w:p>
        </w:tc>
        <w:tc>
          <w:tcPr>
            <w:tcW w:w="3192" w:type="pct"/>
            <w:vAlign w:val="center"/>
          </w:tcPr>
          <w:p w:rsidR="00492399" w:rsidRDefault="00372C1D" w:rsidP="00492399">
            <w:pPr>
              <w:jc w:val="center"/>
            </w:pPr>
            <w:r>
              <w:rPr>
                <w:sz w:val="16"/>
                <w:szCs w:val="16"/>
              </w:rPr>
              <w:t>U</w:t>
            </w:r>
            <w:r w:rsidRPr="007C6A9A">
              <w:rPr>
                <w:sz w:val="16"/>
                <w:szCs w:val="16"/>
              </w:rPr>
              <w:t>nknown</w:t>
            </w:r>
          </w:p>
        </w:tc>
      </w:tr>
      <w:tr w:rsidR="00372C1D" w:rsidRPr="00D3067E" w:rsidTr="00372C1D">
        <w:trPr>
          <w:trHeight w:val="377"/>
        </w:trPr>
        <w:tc>
          <w:tcPr>
            <w:tcW w:w="1129" w:type="pct"/>
            <w:vAlign w:val="center"/>
          </w:tcPr>
          <w:p w:rsidR="00372C1D" w:rsidRPr="00B476A4" w:rsidRDefault="00372C1D" w:rsidP="00372C1D">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372C1D" w:rsidRPr="00D46370" w:rsidRDefault="00372C1D" w:rsidP="00372C1D">
            <w:pPr>
              <w:spacing w:line="240" w:lineRule="atLeast"/>
              <w:jc w:val="center"/>
              <w:rPr>
                <w:rFonts w:ascii="Calibri" w:eastAsia="Calibri" w:hAnsi="Calibri" w:cs="Arial"/>
              </w:rPr>
            </w:pP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Span-REALD-30</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r w:rsidR="00372C1D" w:rsidRPr="00D3067E" w:rsidTr="00372C1D">
        <w:trPr>
          <w:trHeight w:val="512"/>
        </w:trPr>
        <w:tc>
          <w:tcPr>
            <w:tcW w:w="1129" w:type="pct"/>
            <w:vAlign w:val="center"/>
          </w:tcPr>
          <w:p w:rsidR="00372C1D" w:rsidRPr="00D46370" w:rsidRDefault="00372C1D" w:rsidP="00372C1D">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r w:rsidRPr="00D46370">
              <w:rPr>
                <w:rFonts w:ascii="Calibri" w:eastAsia="Calibri" w:hAnsi="Calibri" w:cs="Arial"/>
              </w:rPr>
              <w:t xml:space="preserve"> </w:t>
            </w: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IREALD-99</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r w:rsidR="00372C1D" w:rsidRPr="00D3067E" w:rsidTr="00372C1D">
        <w:trPr>
          <w:trHeight w:val="548"/>
        </w:trPr>
        <w:tc>
          <w:tcPr>
            <w:tcW w:w="1129" w:type="pct"/>
            <w:vAlign w:val="center"/>
          </w:tcPr>
          <w:p w:rsidR="00372C1D" w:rsidRPr="00D46370" w:rsidRDefault="00372C1D" w:rsidP="00372C1D">
            <w:pPr>
              <w:spacing w:before="240" w:line="240" w:lineRule="atLeast"/>
              <w:jc w:val="center"/>
              <w:rPr>
                <w:rFonts w:ascii="Calibri" w:eastAsia="Calibri" w:hAnsi="Calibri" w:cs="Arial"/>
              </w:rPr>
            </w:pPr>
            <w:r w:rsidRPr="00B476A4">
              <w:rPr>
                <w:bCs/>
                <w:color w:val="000000"/>
                <w:sz w:val="18"/>
                <w:szCs w:val="18"/>
              </w:rPr>
              <w:t>Atchison et al.</w:t>
            </w:r>
            <w:r w:rsidRPr="00D46370">
              <w:rPr>
                <w:rFonts w:ascii="Calibri" w:eastAsia="Calibri" w:hAnsi="Calibri" w:cs="Arial"/>
              </w:rPr>
              <w:t xml:space="preserve"> </w:t>
            </w:r>
          </w:p>
        </w:tc>
        <w:tc>
          <w:tcPr>
            <w:tcW w:w="679" w:type="pct"/>
            <w:vAlign w:val="center"/>
          </w:tcPr>
          <w:p w:rsidR="00372C1D" w:rsidRPr="00D3067E" w:rsidRDefault="00372C1D" w:rsidP="00372C1D">
            <w:pPr>
              <w:spacing w:before="240" w:line="360" w:lineRule="auto"/>
              <w:jc w:val="center"/>
              <w:rPr>
                <w:sz w:val="16"/>
                <w:szCs w:val="16"/>
              </w:rPr>
            </w:pPr>
            <w:r w:rsidRPr="00D3067E">
              <w:rPr>
                <w:sz w:val="16"/>
                <w:szCs w:val="16"/>
              </w:rPr>
              <w:t>REALM-D</w:t>
            </w:r>
          </w:p>
          <w:p w:rsidR="00372C1D" w:rsidRPr="00D3067E" w:rsidRDefault="00372C1D" w:rsidP="00372C1D">
            <w:pPr>
              <w:spacing w:before="240" w:line="360" w:lineRule="auto"/>
              <w:jc w:val="center"/>
              <w:rPr>
                <w:sz w:val="16"/>
                <w:szCs w:val="16"/>
              </w:rPr>
            </w:pPr>
          </w:p>
        </w:tc>
        <w:tc>
          <w:tcPr>
            <w:tcW w:w="3192" w:type="pct"/>
            <w:vAlign w:val="center"/>
          </w:tcPr>
          <w:p w:rsidR="00372C1D" w:rsidRDefault="00372C1D" w:rsidP="00372C1D">
            <w:pPr>
              <w:jc w:val="center"/>
            </w:pPr>
            <w:r w:rsidRPr="00C0645A">
              <w:rPr>
                <w:sz w:val="16"/>
                <w:szCs w:val="16"/>
              </w:rPr>
              <w:t>Unknown</w:t>
            </w:r>
          </w:p>
        </w:tc>
      </w:tr>
    </w:tbl>
    <w:p w:rsidR="00082E94" w:rsidRDefault="00082E94">
      <w:pPr>
        <w:rPr>
          <w:rtl/>
        </w:rPr>
      </w:pPr>
    </w:p>
    <w:p w:rsidR="00082E94" w:rsidRDefault="00082E94">
      <w:pPr>
        <w:rPr>
          <w:rtl/>
        </w:rPr>
      </w:pPr>
      <w:r>
        <w:rPr>
          <w:rtl/>
        </w:rPr>
        <w:br w:type="page"/>
      </w:r>
    </w:p>
    <w:tbl>
      <w:tblPr>
        <w:tblStyle w:val="TableGrid"/>
        <w:tblpPr w:leftFromText="180" w:rightFromText="180" w:vertAnchor="text" w:horzAnchor="page" w:tblpX="316" w:tblpY="152"/>
        <w:tblW w:w="5779" w:type="pct"/>
        <w:tblLook w:val="04A0" w:firstRow="1" w:lastRow="0" w:firstColumn="1" w:lastColumn="0" w:noHBand="0" w:noVBand="1"/>
      </w:tblPr>
      <w:tblGrid>
        <w:gridCol w:w="3527"/>
        <w:gridCol w:w="2881"/>
        <w:gridCol w:w="8821"/>
      </w:tblGrid>
      <w:tr w:rsidR="00082E94" w:rsidRPr="00D3067E" w:rsidTr="007C6A9A">
        <w:trPr>
          <w:cantSplit/>
          <w:trHeight w:val="1073"/>
        </w:trPr>
        <w:tc>
          <w:tcPr>
            <w:tcW w:w="1158" w:type="pct"/>
            <w:vMerge w:val="restart"/>
            <w:shd w:val="clear" w:color="auto" w:fill="D9D9D9" w:themeFill="background1" w:themeFillShade="D9"/>
            <w:textDirection w:val="btLr"/>
            <w:vAlign w:val="center"/>
          </w:tcPr>
          <w:p w:rsidR="00082E94" w:rsidRPr="00D3067E" w:rsidRDefault="00082E94" w:rsidP="007C6A9A">
            <w:pPr>
              <w:bidi/>
              <w:spacing w:before="240"/>
              <w:ind w:left="113" w:right="113"/>
              <w:jc w:val="center"/>
              <w:rPr>
                <w:rFonts w:ascii="Palatino Linotype" w:hAnsi="Palatino Linotype" w:cstheme="majorBidi"/>
                <w:b/>
                <w:sz w:val="16"/>
                <w:szCs w:val="16"/>
              </w:rPr>
            </w:pPr>
            <w:r w:rsidRPr="00D3067E">
              <w:rPr>
                <w:rFonts w:ascii="Palatino Linotype" w:hAnsi="Palatino Linotype" w:cstheme="majorBidi"/>
                <w:b/>
                <w:sz w:val="16"/>
                <w:szCs w:val="16"/>
              </w:rPr>
              <w:lastRenderedPageBreak/>
              <w:t>Author</w:t>
            </w:r>
          </w:p>
        </w:tc>
        <w:tc>
          <w:tcPr>
            <w:tcW w:w="946"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sz w:val="16"/>
                <w:szCs w:val="16"/>
              </w:rPr>
            </w:pPr>
            <w:r w:rsidRPr="00D3067E">
              <w:rPr>
                <w:rFonts w:ascii="Palatino Linotype" w:hAnsi="Palatino Linotype" w:cstheme="majorBidi"/>
                <w:b/>
                <w:sz w:val="16"/>
                <w:szCs w:val="16"/>
              </w:rPr>
              <w:t>Instrument</w:t>
            </w:r>
          </w:p>
        </w:tc>
        <w:tc>
          <w:tcPr>
            <w:tcW w:w="2896" w:type="pct"/>
            <w:vMerge w:val="restart"/>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
                <w:bCs/>
                <w:sz w:val="16"/>
                <w:szCs w:val="16"/>
              </w:rPr>
            </w:pPr>
            <w:r w:rsidRPr="00004F86">
              <w:rPr>
                <w:rFonts w:ascii="Palatino Linotype" w:hAnsi="Palatino Linotype" w:cstheme="majorBidi"/>
                <w:b/>
                <w:bCs/>
                <w:sz w:val="16"/>
                <w:szCs w:val="16"/>
              </w:rPr>
              <w:t>Cross-cultural validity</w:t>
            </w:r>
          </w:p>
        </w:tc>
      </w:tr>
      <w:tr w:rsidR="00082E94" w:rsidRPr="00D3067E" w:rsidTr="007C6A9A">
        <w:trPr>
          <w:cantSplit/>
          <w:trHeight w:val="713"/>
        </w:trPr>
        <w:tc>
          <w:tcPr>
            <w:tcW w:w="1158" w:type="pct"/>
            <w:vMerge/>
            <w:shd w:val="clear" w:color="auto" w:fill="D9D9D9" w:themeFill="background1" w:themeFillShade="D9"/>
            <w:textDirection w:val="btLr"/>
            <w:vAlign w:val="center"/>
          </w:tcPr>
          <w:p w:rsidR="00082E94" w:rsidRPr="00D3067E" w:rsidRDefault="00082E94" w:rsidP="007C6A9A">
            <w:pPr>
              <w:bidi/>
              <w:spacing w:before="240"/>
              <w:ind w:left="113" w:right="113"/>
              <w:jc w:val="center"/>
              <w:rPr>
                <w:rFonts w:ascii="Palatino Linotype" w:hAnsi="Palatino Linotype" w:cstheme="majorBidi"/>
                <w:bCs/>
                <w:sz w:val="16"/>
                <w:szCs w:val="16"/>
              </w:rPr>
            </w:pPr>
          </w:p>
        </w:tc>
        <w:tc>
          <w:tcPr>
            <w:tcW w:w="946" w:type="pct"/>
            <w:vMerge/>
            <w:shd w:val="clear" w:color="auto" w:fill="D9D9D9" w:themeFill="background1" w:themeFillShade="D9"/>
            <w:vAlign w:val="center"/>
          </w:tcPr>
          <w:p w:rsidR="00082E94" w:rsidRPr="00D3067E" w:rsidRDefault="00082E94" w:rsidP="00896E59">
            <w:pPr>
              <w:bidi/>
              <w:spacing w:before="240"/>
              <w:jc w:val="center"/>
              <w:rPr>
                <w:rFonts w:ascii="Palatino Linotype" w:hAnsi="Palatino Linotype" w:cstheme="majorBidi"/>
                <w:bCs/>
                <w:sz w:val="16"/>
                <w:szCs w:val="16"/>
              </w:rPr>
            </w:pPr>
          </w:p>
        </w:tc>
        <w:tc>
          <w:tcPr>
            <w:tcW w:w="2896" w:type="pct"/>
            <w:vMerge/>
            <w:shd w:val="clear" w:color="auto" w:fill="D9D9D9" w:themeFill="background1" w:themeFillShade="D9"/>
          </w:tcPr>
          <w:p w:rsidR="00082E94" w:rsidRPr="00D3067E" w:rsidRDefault="00082E94" w:rsidP="00896E59">
            <w:pPr>
              <w:bidi/>
              <w:spacing w:before="240"/>
              <w:jc w:val="center"/>
              <w:rPr>
                <w:rFonts w:ascii="Palatino Linotype" w:hAnsi="Palatino Linotype" w:cstheme="majorBidi"/>
                <w:b/>
                <w:bCs/>
                <w:sz w:val="16"/>
                <w:szCs w:val="16"/>
              </w:rPr>
            </w:pPr>
          </w:p>
        </w:tc>
      </w:tr>
      <w:tr w:rsidR="00372C1D" w:rsidRPr="00D3067E" w:rsidTr="00372C1D">
        <w:trPr>
          <w:trHeight w:val="353"/>
        </w:trPr>
        <w:tc>
          <w:tcPr>
            <w:tcW w:w="1158" w:type="pct"/>
            <w:vAlign w:val="center"/>
          </w:tcPr>
          <w:p w:rsidR="00372C1D" w:rsidRPr="00D46370" w:rsidRDefault="00372C1D" w:rsidP="00372C1D">
            <w:pPr>
              <w:spacing w:line="240" w:lineRule="atLeast"/>
              <w:jc w:val="center"/>
              <w:rPr>
                <w:color w:val="000000"/>
              </w:rPr>
            </w:pPr>
            <w:r w:rsidRPr="00D46370">
              <w:rPr>
                <w:color w:val="000000"/>
              </w:rPr>
              <w:t>Richman et al(2007)</w:t>
            </w:r>
          </w:p>
        </w:tc>
        <w:tc>
          <w:tcPr>
            <w:tcW w:w="946" w:type="pct"/>
            <w:vAlign w:val="center"/>
          </w:tcPr>
          <w:p w:rsidR="00372C1D" w:rsidRPr="00D3067E" w:rsidRDefault="00372C1D" w:rsidP="00372C1D">
            <w:pPr>
              <w:bidi/>
              <w:spacing w:before="240" w:line="360" w:lineRule="auto"/>
              <w:jc w:val="center"/>
              <w:rPr>
                <w:rFonts w:ascii="Palatino Linotype" w:hAnsi="Palatino Linotype" w:cstheme="majorBidi"/>
                <w:bCs/>
                <w:color w:val="000000"/>
                <w:sz w:val="16"/>
                <w:szCs w:val="16"/>
              </w:rPr>
            </w:pPr>
            <w:r w:rsidRPr="00D3067E">
              <w:rPr>
                <w:sz w:val="16"/>
                <w:szCs w:val="16"/>
              </w:rPr>
              <w:t>REALD-99</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452"/>
        </w:trPr>
        <w:tc>
          <w:tcPr>
            <w:tcW w:w="1158" w:type="pct"/>
            <w:vAlign w:val="center"/>
          </w:tcPr>
          <w:p w:rsidR="00372C1D" w:rsidRPr="00D46370" w:rsidRDefault="00372C1D" w:rsidP="00372C1D">
            <w:pPr>
              <w:spacing w:line="240" w:lineRule="atLeast"/>
              <w:jc w:val="center"/>
              <w:rPr>
                <w:color w:val="000000"/>
              </w:rPr>
            </w:pPr>
            <w:r w:rsidRPr="00D46370">
              <w:rPr>
                <w:color w:val="000000"/>
              </w:rPr>
              <w:t>Lee et al(2007)</w:t>
            </w:r>
          </w:p>
        </w:tc>
        <w:tc>
          <w:tcPr>
            <w:tcW w:w="946" w:type="pct"/>
            <w:vAlign w:val="center"/>
          </w:tcPr>
          <w:p w:rsidR="00372C1D" w:rsidRPr="00D3067E" w:rsidRDefault="00372C1D" w:rsidP="00372C1D">
            <w:pPr>
              <w:bidi/>
              <w:spacing w:before="240" w:line="360" w:lineRule="auto"/>
              <w:jc w:val="center"/>
              <w:rPr>
                <w:bCs/>
                <w:sz w:val="16"/>
                <w:szCs w:val="16"/>
              </w:rPr>
            </w:pPr>
            <w:r w:rsidRPr="00D3067E">
              <w:rPr>
                <w:sz w:val="16"/>
                <w:szCs w:val="16"/>
              </w:rPr>
              <w:t>REALD-30</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398"/>
        </w:trPr>
        <w:tc>
          <w:tcPr>
            <w:tcW w:w="1158" w:type="pct"/>
            <w:vAlign w:val="center"/>
          </w:tcPr>
          <w:p w:rsidR="00372C1D" w:rsidRPr="00D46370" w:rsidRDefault="00372C1D" w:rsidP="00372C1D">
            <w:pPr>
              <w:spacing w:line="240" w:lineRule="atLeast"/>
              <w:jc w:val="center"/>
              <w:rPr>
                <w:color w:val="000000"/>
              </w:rPr>
            </w:pPr>
            <w:r w:rsidRPr="00D46370">
              <w:rPr>
                <w:color w:val="000000"/>
              </w:rPr>
              <w:t>Gong et al.(2007)</w:t>
            </w:r>
          </w:p>
        </w:tc>
        <w:tc>
          <w:tcPr>
            <w:tcW w:w="946" w:type="pct"/>
            <w:vAlign w:val="center"/>
          </w:tcPr>
          <w:p w:rsidR="00372C1D" w:rsidRPr="00D3067E" w:rsidRDefault="00372C1D" w:rsidP="00372C1D">
            <w:pPr>
              <w:bidi/>
              <w:spacing w:before="240" w:line="360" w:lineRule="auto"/>
              <w:jc w:val="center"/>
              <w:rPr>
                <w:bCs/>
                <w:sz w:val="16"/>
                <w:szCs w:val="16"/>
              </w:rPr>
            </w:pPr>
            <w:proofErr w:type="spellStart"/>
            <w:r w:rsidRPr="00D3067E">
              <w:rPr>
                <w:sz w:val="16"/>
                <w:szCs w:val="16"/>
              </w:rPr>
              <w:t>ToFHLiD</w:t>
            </w:r>
            <w:proofErr w:type="spellEnd"/>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587"/>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Sabbahi</w:t>
            </w:r>
            <w:proofErr w:type="spellEnd"/>
            <w:r w:rsidRPr="00D46370">
              <w:rPr>
                <w:rFonts w:ascii="Calibri" w:eastAsia="Calibri" w:hAnsi="Calibri" w:cs="Arial"/>
              </w:rPr>
              <w:t xml:space="preserve"> et al(2009)</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OHLI</w:t>
            </w:r>
          </w:p>
        </w:tc>
        <w:tc>
          <w:tcPr>
            <w:tcW w:w="2896" w:type="pct"/>
            <w:vAlign w:val="center"/>
          </w:tcPr>
          <w:p w:rsidR="00372C1D" w:rsidRDefault="00372C1D" w:rsidP="00372C1D">
            <w:pPr>
              <w:jc w:val="center"/>
            </w:pPr>
            <w:r w:rsidRPr="001B20D7">
              <w:rPr>
                <w:sz w:val="16"/>
                <w:szCs w:val="16"/>
              </w:rPr>
              <w:t>Unknown</w:t>
            </w:r>
          </w:p>
        </w:tc>
      </w:tr>
      <w:tr w:rsidR="00372C1D" w:rsidRPr="00D3067E" w:rsidTr="00372C1D">
        <w:trPr>
          <w:trHeight w:val="515"/>
        </w:trPr>
        <w:tc>
          <w:tcPr>
            <w:tcW w:w="1158"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Macek</w:t>
            </w:r>
            <w:proofErr w:type="spellEnd"/>
            <w:r w:rsidRPr="00D46370">
              <w:rPr>
                <w:rFonts w:ascii="Calibri" w:eastAsia="Calibri" w:hAnsi="Calibri" w:cs="Arial"/>
              </w:rPr>
              <w:t xml:space="preserve"> et al(2010)</w:t>
            </w:r>
          </w:p>
          <w:p w:rsidR="00372C1D" w:rsidRPr="00D46370" w:rsidRDefault="00372C1D" w:rsidP="00372C1D">
            <w:pPr>
              <w:spacing w:line="240" w:lineRule="atLeast"/>
              <w:jc w:val="center"/>
              <w:rPr>
                <w:rFonts w:ascii="Calibri" w:eastAsia="Calibri" w:hAnsi="Calibri" w:cs="Arial"/>
              </w:rPr>
            </w:pP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CMOHK</w:t>
            </w:r>
          </w:p>
        </w:tc>
        <w:tc>
          <w:tcPr>
            <w:tcW w:w="2896" w:type="pct"/>
            <w:vAlign w:val="center"/>
          </w:tcPr>
          <w:p w:rsidR="00372C1D" w:rsidRDefault="00372C1D" w:rsidP="00372C1D">
            <w:pPr>
              <w:jc w:val="center"/>
            </w:pPr>
            <w:r w:rsidRPr="001B20D7">
              <w:rPr>
                <w:sz w:val="16"/>
                <w:szCs w:val="16"/>
              </w:rPr>
              <w:t>Unknown</w:t>
            </w:r>
          </w:p>
        </w:tc>
      </w:tr>
      <w:tr w:rsidR="00155B5F" w:rsidRPr="00D3067E" w:rsidTr="007C6A9A">
        <w:trPr>
          <w:trHeight w:val="1487"/>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ind w:firstLine="720"/>
              <w:jc w:val="center"/>
              <w:rPr>
                <w:rFonts w:ascii="Calibri" w:eastAsia="Calibri" w:hAnsi="Calibri" w:cs="Arial"/>
              </w:rPr>
            </w:pPr>
            <w:r w:rsidRPr="00D46370">
              <w:rPr>
                <w:rFonts w:ascii="Calibri" w:eastAsia="Calibri" w:hAnsi="Calibri" w:cs="Arial"/>
              </w:rPr>
              <w:t>Wong et al.(2012)</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HKREALD-30</w:t>
            </w:r>
          </w:p>
        </w:tc>
        <w:tc>
          <w:tcPr>
            <w:tcW w:w="2896" w:type="pct"/>
          </w:tcPr>
          <w:p w:rsidR="00155B5F" w:rsidRPr="00344536" w:rsidRDefault="00155B5F" w:rsidP="00155B5F">
            <w:pPr>
              <w:spacing w:before="240" w:line="360" w:lineRule="auto"/>
              <w:rPr>
                <w:sz w:val="16"/>
                <w:szCs w:val="16"/>
              </w:rPr>
            </w:pPr>
            <w:r w:rsidRPr="0051097B">
              <w:rPr>
                <w:sz w:val="16"/>
                <w:szCs w:val="16"/>
              </w:rPr>
              <w:t xml:space="preserve">Three additional sets of self-completed </w:t>
            </w:r>
            <w:r>
              <w:rPr>
                <w:sz w:val="16"/>
                <w:szCs w:val="16"/>
              </w:rPr>
              <w:t xml:space="preserve"> </w:t>
            </w:r>
            <w:r w:rsidRPr="0051097B">
              <w:rPr>
                <w:sz w:val="16"/>
                <w:szCs w:val="16"/>
              </w:rPr>
              <w:t>questionnaires</w:t>
            </w:r>
            <w:r>
              <w:rPr>
                <w:sz w:val="16"/>
                <w:szCs w:val="16"/>
              </w:rPr>
              <w:t xml:space="preserve"> </w:t>
            </w:r>
            <w:r w:rsidRPr="0051097B">
              <w:rPr>
                <w:sz w:val="16"/>
                <w:szCs w:val="16"/>
              </w:rPr>
              <w:t>were administered to the participants to assess the validity of the translated and modified instrument: (a) the Test of Functional Health Literacy in Dentistry (</w:t>
            </w:r>
            <w:proofErr w:type="spellStart"/>
            <w:r w:rsidRPr="0051097B">
              <w:rPr>
                <w:sz w:val="16"/>
                <w:szCs w:val="16"/>
              </w:rPr>
              <w:t>TOFHLiD</w:t>
            </w:r>
            <w:proofErr w:type="spellEnd"/>
            <w:r w:rsidRPr="0051097B">
              <w:rPr>
                <w:sz w:val="16"/>
                <w:szCs w:val="16"/>
              </w:rPr>
              <w:t>);18 (b) a self-report questionnaire developed to collect data on the respondents’ reading habits (namely, the hours spent in personal reading in the past week) involving print (newspapers, books and letters) and digital/screen</w:t>
            </w:r>
            <w:r w:rsidR="00372C1D">
              <w:rPr>
                <w:sz w:val="16"/>
                <w:szCs w:val="16"/>
              </w:rPr>
              <w:t>-</w:t>
            </w:r>
            <w:r w:rsidRPr="0051097B">
              <w:rPr>
                <w:sz w:val="16"/>
                <w:szCs w:val="16"/>
              </w:rPr>
              <w:t>based texts (webpages and text messages); and (c) a self-report questionnaire developed to collect the respondents’ background information, such as age, gender, education levels, working status, family incomes and pattern of dental visits.</w:t>
            </w:r>
          </w:p>
        </w:tc>
      </w:tr>
      <w:tr w:rsidR="00372C1D" w:rsidRPr="00D3067E" w:rsidTr="00372C1D">
        <w:trPr>
          <w:trHeight w:val="926"/>
        </w:trPr>
        <w:tc>
          <w:tcPr>
            <w:tcW w:w="1158"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Lee et al.(2012)</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OHLA-S</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533"/>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Gironda</w:t>
            </w:r>
            <w:proofErr w:type="spellEnd"/>
            <w:r w:rsidRPr="00D46370">
              <w:rPr>
                <w:rFonts w:ascii="Calibri" w:eastAsia="Calibri" w:hAnsi="Calibri" w:cs="Arial"/>
              </w:rPr>
              <w:t xml:space="preserve"> et al.(2013)</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REALMD-20</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620"/>
        </w:trPr>
        <w:tc>
          <w:tcPr>
            <w:tcW w:w="1158" w:type="pct"/>
            <w:vAlign w:val="center"/>
          </w:tcPr>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Wong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Bridges et al</w:t>
            </w: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(2013)</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HKOHLAT-P</w:t>
            </w:r>
          </w:p>
        </w:tc>
        <w:tc>
          <w:tcPr>
            <w:tcW w:w="2896" w:type="pct"/>
            <w:vAlign w:val="center"/>
          </w:tcPr>
          <w:p w:rsidR="00372C1D" w:rsidRDefault="00372C1D" w:rsidP="00372C1D">
            <w:pPr>
              <w:jc w:val="center"/>
            </w:pPr>
            <w:r w:rsidRPr="005551EA">
              <w:rPr>
                <w:sz w:val="16"/>
                <w:szCs w:val="16"/>
              </w:rPr>
              <w:t>Unknown</w:t>
            </w:r>
          </w:p>
        </w:tc>
      </w:tr>
      <w:tr w:rsidR="00372C1D" w:rsidRPr="00D3067E" w:rsidTr="00372C1D">
        <w:trPr>
          <w:trHeight w:val="512"/>
        </w:trPr>
        <w:tc>
          <w:tcPr>
            <w:tcW w:w="1158" w:type="pct"/>
            <w:vAlign w:val="center"/>
          </w:tcPr>
          <w:p w:rsidR="00372C1D" w:rsidRPr="00D46370" w:rsidRDefault="00372C1D" w:rsidP="00372C1D">
            <w:pPr>
              <w:spacing w:line="240" w:lineRule="atLeast"/>
              <w:jc w:val="center"/>
              <w:rPr>
                <w:rFonts w:ascii="Calibri" w:eastAsia="Calibri" w:hAnsi="Calibri" w:cs="Arial"/>
              </w:rPr>
            </w:pPr>
          </w:p>
          <w:p w:rsidR="00372C1D" w:rsidRPr="00D46370" w:rsidRDefault="00372C1D" w:rsidP="00372C1D">
            <w:pPr>
              <w:spacing w:line="240" w:lineRule="atLeast"/>
              <w:jc w:val="center"/>
              <w:rPr>
                <w:rFonts w:ascii="Calibri" w:eastAsia="Calibri" w:hAnsi="Calibri" w:cs="Arial"/>
              </w:rPr>
            </w:pPr>
            <w:r w:rsidRPr="00D46370">
              <w:rPr>
                <w:rFonts w:ascii="Calibri" w:eastAsia="Calibri" w:hAnsi="Calibri" w:cs="Arial"/>
              </w:rPr>
              <w:t>Jones et al.(2013)</w:t>
            </w:r>
          </w:p>
        </w:tc>
        <w:tc>
          <w:tcPr>
            <w:tcW w:w="946" w:type="pct"/>
            <w:vAlign w:val="center"/>
          </w:tcPr>
          <w:p w:rsidR="00372C1D" w:rsidRPr="00D3067E" w:rsidRDefault="00372C1D" w:rsidP="00372C1D">
            <w:pPr>
              <w:bidi/>
              <w:spacing w:before="240" w:line="360" w:lineRule="auto"/>
              <w:jc w:val="center"/>
              <w:rPr>
                <w:bCs/>
                <w:color w:val="000000"/>
                <w:sz w:val="16"/>
                <w:szCs w:val="16"/>
              </w:rPr>
            </w:pPr>
            <w:proofErr w:type="spellStart"/>
            <w:r w:rsidRPr="00D3067E">
              <w:rPr>
                <w:sz w:val="16"/>
                <w:szCs w:val="16"/>
              </w:rPr>
              <w:t>HeLD</w:t>
            </w:r>
            <w:proofErr w:type="spellEnd"/>
          </w:p>
        </w:tc>
        <w:tc>
          <w:tcPr>
            <w:tcW w:w="2896" w:type="pct"/>
            <w:vAlign w:val="center"/>
          </w:tcPr>
          <w:p w:rsidR="00372C1D" w:rsidRDefault="00372C1D" w:rsidP="00372C1D">
            <w:pPr>
              <w:jc w:val="center"/>
            </w:pPr>
            <w:r w:rsidRPr="00A227E8">
              <w:rPr>
                <w:sz w:val="16"/>
                <w:szCs w:val="16"/>
              </w:rPr>
              <w:t>Unknown</w:t>
            </w:r>
          </w:p>
        </w:tc>
      </w:tr>
      <w:tr w:rsidR="00372C1D" w:rsidRPr="00D3067E" w:rsidTr="00372C1D">
        <w:trPr>
          <w:trHeight w:val="512"/>
        </w:trPr>
        <w:tc>
          <w:tcPr>
            <w:tcW w:w="1158" w:type="pct"/>
            <w:vAlign w:val="center"/>
          </w:tcPr>
          <w:p w:rsidR="00372C1D" w:rsidRPr="00D46370" w:rsidRDefault="00372C1D" w:rsidP="00372C1D">
            <w:pPr>
              <w:spacing w:line="240" w:lineRule="atLeast"/>
              <w:jc w:val="center"/>
              <w:rPr>
                <w:rFonts w:ascii="Calibri" w:eastAsia="Calibri" w:hAnsi="Calibri" w:cs="Arial"/>
              </w:rPr>
            </w:pPr>
            <w:proofErr w:type="spellStart"/>
            <w:r w:rsidRPr="00D46370">
              <w:rPr>
                <w:rFonts w:ascii="Calibri" w:eastAsia="Calibri" w:hAnsi="Calibri" w:cs="Arial"/>
              </w:rPr>
              <w:t>Stucky</w:t>
            </w:r>
            <w:proofErr w:type="spellEnd"/>
            <w:r w:rsidRPr="00D46370">
              <w:rPr>
                <w:rFonts w:ascii="Calibri" w:eastAsia="Calibri" w:hAnsi="Calibri" w:cs="Arial"/>
              </w:rPr>
              <w:t xml:space="preserve"> et al.(2011)</w:t>
            </w:r>
          </w:p>
        </w:tc>
        <w:tc>
          <w:tcPr>
            <w:tcW w:w="946" w:type="pct"/>
            <w:vAlign w:val="center"/>
          </w:tcPr>
          <w:p w:rsidR="00372C1D" w:rsidRPr="00D3067E" w:rsidRDefault="00372C1D" w:rsidP="00372C1D">
            <w:pPr>
              <w:bidi/>
              <w:spacing w:before="240" w:line="360" w:lineRule="auto"/>
              <w:jc w:val="center"/>
              <w:rPr>
                <w:bCs/>
                <w:color w:val="000000"/>
                <w:sz w:val="16"/>
                <w:szCs w:val="16"/>
              </w:rPr>
            </w:pPr>
            <w:r w:rsidRPr="00D3067E">
              <w:rPr>
                <w:sz w:val="16"/>
                <w:szCs w:val="16"/>
              </w:rPr>
              <w:t>TS-REALD</w:t>
            </w:r>
          </w:p>
        </w:tc>
        <w:tc>
          <w:tcPr>
            <w:tcW w:w="2896" w:type="pct"/>
            <w:vAlign w:val="center"/>
          </w:tcPr>
          <w:p w:rsidR="00372C1D" w:rsidRDefault="00372C1D" w:rsidP="00372C1D">
            <w:pPr>
              <w:jc w:val="center"/>
            </w:pPr>
            <w:r w:rsidRPr="00A227E8">
              <w:rPr>
                <w:sz w:val="16"/>
                <w:szCs w:val="16"/>
              </w:rPr>
              <w:t>Unknown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Junkes</w:t>
            </w:r>
            <w:proofErr w:type="spellEnd"/>
            <w:r w:rsidRPr="00D46370">
              <w:rPr>
                <w:rFonts w:ascii="Calibri" w:eastAsia="Calibri" w:hAnsi="Calibri" w:cs="Arial"/>
              </w:rPr>
              <w:t xml:space="preserve"> et al(2015)</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BREALD-20</w:t>
            </w:r>
          </w:p>
        </w:tc>
        <w:tc>
          <w:tcPr>
            <w:tcW w:w="2896" w:type="pct"/>
          </w:tcPr>
          <w:p w:rsidR="00155B5F" w:rsidRPr="00966D36" w:rsidRDefault="00372C1D" w:rsidP="00155B5F">
            <w:pPr>
              <w:spacing w:before="240" w:line="360" w:lineRule="auto"/>
              <w:rPr>
                <w:sz w:val="16"/>
                <w:szCs w:val="16"/>
              </w:rPr>
            </w:pPr>
            <w:r>
              <w:rPr>
                <w:sz w:val="16"/>
                <w:szCs w:val="16"/>
              </w:rPr>
              <w:t>F</w:t>
            </w:r>
            <w:r w:rsidR="00155B5F" w:rsidRPr="00F32999">
              <w:rPr>
                <w:sz w:val="16"/>
                <w:szCs w:val="16"/>
              </w:rPr>
              <w:t>or the determination of</w:t>
            </w:r>
            <w:r w:rsidR="00155B5F">
              <w:rPr>
                <w:sz w:val="16"/>
                <w:szCs w:val="16"/>
              </w:rPr>
              <w:t xml:space="preserve"> </w:t>
            </w:r>
            <w:r w:rsidR="00155B5F" w:rsidRPr="00F32999">
              <w:rPr>
                <w:sz w:val="16"/>
                <w:szCs w:val="16"/>
              </w:rPr>
              <w:t>conceptual equivalence, a committee of</w:t>
            </w:r>
            <w:r w:rsidR="00155B5F">
              <w:rPr>
                <w:sz w:val="16"/>
                <w:szCs w:val="16"/>
              </w:rPr>
              <w:t xml:space="preserve"> </w:t>
            </w:r>
            <w:r w:rsidR="00155B5F" w:rsidRPr="00F32999">
              <w:rPr>
                <w:sz w:val="16"/>
                <w:szCs w:val="16"/>
              </w:rPr>
              <w:t>experts in oral health and</w:t>
            </w:r>
            <w:r w:rsidR="00155B5F">
              <w:rPr>
                <w:sz w:val="16"/>
                <w:szCs w:val="16"/>
              </w:rPr>
              <w:t xml:space="preserve"> </w:t>
            </w:r>
            <w:r w:rsidR="00155B5F" w:rsidRPr="00F32999">
              <w:rPr>
                <w:sz w:val="16"/>
                <w:szCs w:val="16"/>
              </w:rPr>
              <w:t>health education assessed the relevance of</w:t>
            </w:r>
            <w:r w:rsidR="00155B5F">
              <w:rPr>
                <w:sz w:val="16"/>
                <w:szCs w:val="16"/>
              </w:rPr>
              <w:t xml:space="preserve"> </w:t>
            </w:r>
            <w:r w:rsidR="00155B5F" w:rsidRPr="00F32999">
              <w:rPr>
                <w:sz w:val="16"/>
                <w:szCs w:val="16"/>
              </w:rPr>
              <w:t>the items on the Brazilian-Portuguese language version in comparison to the original English language version. The committee evaluated whether the areas covered by the original instrument regarding the concepts of</w:t>
            </w:r>
            <w:r w:rsidR="00155B5F">
              <w:rPr>
                <w:sz w:val="16"/>
                <w:szCs w:val="16"/>
              </w:rPr>
              <w:t xml:space="preserve"> </w:t>
            </w:r>
            <w:r w:rsidR="00155B5F" w:rsidRPr="00F32999">
              <w:rPr>
                <w:sz w:val="16"/>
                <w:szCs w:val="16"/>
              </w:rPr>
              <w:t>interest would be relevant and pertinent to the cultural context to which the REALD-30 was being adapted.</w:t>
            </w:r>
          </w:p>
        </w:tc>
      </w:tr>
      <w:tr w:rsidR="00155B5F" w:rsidRPr="00D3067E" w:rsidTr="007C6A9A">
        <w:trPr>
          <w:trHeight w:val="1070"/>
        </w:trPr>
        <w:tc>
          <w:tcPr>
            <w:tcW w:w="1158" w:type="pct"/>
            <w:vAlign w:val="center"/>
          </w:tcPr>
          <w:p w:rsidR="00155B5F" w:rsidRPr="00D46370" w:rsidRDefault="00155B5F" w:rsidP="007C6A9A">
            <w:pPr>
              <w:spacing w:line="240" w:lineRule="atLeast"/>
              <w:jc w:val="center"/>
              <w:rPr>
                <w:rFonts w:ascii="Calibri" w:eastAsia="Calibri" w:hAnsi="Calibri" w:cs="Arial"/>
              </w:rPr>
            </w:pPr>
            <w:r w:rsidRPr="00D46370">
              <w:rPr>
                <w:rFonts w:ascii="Calibri" w:eastAsia="Calibri" w:hAnsi="Calibri" w:cs="Arial"/>
              </w:rPr>
              <w:t>Parker et al.(2017)</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TREALD-30</w:t>
            </w:r>
          </w:p>
        </w:tc>
        <w:tc>
          <w:tcPr>
            <w:tcW w:w="2896" w:type="pct"/>
          </w:tcPr>
          <w:p w:rsidR="00155B5F" w:rsidRDefault="00155B5F" w:rsidP="00155B5F">
            <w:pPr>
              <w:spacing w:before="240" w:line="360" w:lineRule="auto"/>
              <w:jc w:val="center"/>
              <w:rPr>
                <w:sz w:val="16"/>
                <w:szCs w:val="16"/>
              </w:rPr>
            </w:pPr>
            <w:r w:rsidRPr="00F32999">
              <w:rPr>
                <w:sz w:val="16"/>
                <w:szCs w:val="16"/>
              </w:rPr>
              <w:t>Based on standard recommendations, the process of cross-cultural adaptation involves five steps, as follows:</w:t>
            </w:r>
          </w:p>
          <w:p w:rsidR="00155B5F" w:rsidRDefault="00155B5F" w:rsidP="007C6A9A">
            <w:pPr>
              <w:spacing w:before="240" w:line="360" w:lineRule="auto"/>
              <w:jc w:val="center"/>
              <w:rPr>
                <w:sz w:val="16"/>
                <w:szCs w:val="16"/>
              </w:rPr>
            </w:pPr>
            <w:r>
              <w:rPr>
                <w:sz w:val="16"/>
                <w:szCs w:val="16"/>
              </w:rPr>
              <w:t xml:space="preserve">Stage 1 – initial </w:t>
            </w:r>
            <w:r w:rsidR="00372C1D">
              <w:rPr>
                <w:sz w:val="16"/>
                <w:szCs w:val="16"/>
              </w:rPr>
              <w:t>translation.</w:t>
            </w:r>
            <w:r w:rsidR="00372C1D" w:rsidRPr="00F32999">
              <w:rPr>
                <w:sz w:val="16"/>
                <w:szCs w:val="16"/>
              </w:rPr>
              <w:t xml:space="preserve"> Stage</w:t>
            </w:r>
            <w:r w:rsidRPr="00F32999">
              <w:rPr>
                <w:sz w:val="16"/>
                <w:szCs w:val="16"/>
              </w:rPr>
              <w:t xml:space="preserve"> 2 – synthesis of these </w:t>
            </w:r>
            <w:r w:rsidR="00372C1D" w:rsidRPr="00F32999">
              <w:rPr>
                <w:sz w:val="16"/>
                <w:szCs w:val="16"/>
              </w:rPr>
              <w:t>translations</w:t>
            </w:r>
            <w:r w:rsidR="00372C1D">
              <w:rPr>
                <w:sz w:val="16"/>
                <w:szCs w:val="16"/>
              </w:rPr>
              <w:t>.</w:t>
            </w:r>
            <w:r w:rsidR="00372C1D" w:rsidRPr="00F32999">
              <w:rPr>
                <w:sz w:val="16"/>
                <w:szCs w:val="16"/>
              </w:rPr>
              <w:t xml:space="preserve"> Stage</w:t>
            </w:r>
            <w:r w:rsidRPr="00F32999">
              <w:rPr>
                <w:sz w:val="16"/>
                <w:szCs w:val="16"/>
              </w:rPr>
              <w:t xml:space="preserve"> 3 – Back-</w:t>
            </w:r>
            <w:r w:rsidR="00372C1D" w:rsidRPr="00F32999">
              <w:rPr>
                <w:sz w:val="16"/>
                <w:szCs w:val="16"/>
              </w:rPr>
              <w:t>translation</w:t>
            </w:r>
            <w:r w:rsidR="00372C1D">
              <w:rPr>
                <w:sz w:val="16"/>
                <w:szCs w:val="16"/>
              </w:rPr>
              <w:t>.</w:t>
            </w:r>
            <w:r w:rsidR="00372C1D" w:rsidRPr="00F32999">
              <w:rPr>
                <w:sz w:val="16"/>
                <w:szCs w:val="16"/>
              </w:rPr>
              <w:t xml:space="preserve"> Stage</w:t>
            </w:r>
            <w:r w:rsidRPr="00F32999">
              <w:rPr>
                <w:sz w:val="16"/>
                <w:szCs w:val="16"/>
              </w:rPr>
              <w:t xml:space="preserve"> 4 – expert committee review</w:t>
            </w:r>
          </w:p>
          <w:p w:rsidR="00155B5F" w:rsidRPr="00966D36" w:rsidRDefault="00155B5F" w:rsidP="00155B5F">
            <w:pPr>
              <w:spacing w:before="240" w:line="360" w:lineRule="auto"/>
              <w:jc w:val="center"/>
              <w:rPr>
                <w:sz w:val="16"/>
                <w:szCs w:val="16"/>
              </w:rPr>
            </w:pPr>
            <w:r w:rsidRPr="00F32999">
              <w:rPr>
                <w:sz w:val="16"/>
                <w:szCs w:val="16"/>
              </w:rPr>
              <w:t>Stage 5 – pretesting</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ind w:firstLine="720"/>
              <w:jc w:val="center"/>
              <w:rPr>
                <w:rFonts w:ascii="Calibri" w:eastAsia="Calibri" w:hAnsi="Calibri" w:cs="Arial"/>
              </w:rPr>
            </w:pPr>
            <w:proofErr w:type="spellStart"/>
            <w:r w:rsidRPr="00D46370">
              <w:rPr>
                <w:rFonts w:ascii="Calibri" w:eastAsia="Calibri" w:hAnsi="Calibri" w:cs="Arial"/>
              </w:rPr>
              <w:t>Tadakamadla</w:t>
            </w:r>
            <w:proofErr w:type="spellEnd"/>
            <w:r w:rsidRPr="00D46370">
              <w:rPr>
                <w:rFonts w:ascii="Calibri" w:eastAsia="Calibri" w:hAnsi="Calibri" w:cs="Arial"/>
              </w:rPr>
              <w:t xml:space="preserve"> et al.(2014)</w:t>
            </w: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AREALD-30</w:t>
            </w:r>
          </w:p>
        </w:tc>
        <w:tc>
          <w:tcPr>
            <w:tcW w:w="2896" w:type="pct"/>
          </w:tcPr>
          <w:p w:rsidR="00155B5F" w:rsidRPr="00966D36" w:rsidRDefault="00155B5F" w:rsidP="007C6A9A">
            <w:pPr>
              <w:spacing w:before="240" w:line="360" w:lineRule="auto"/>
              <w:jc w:val="center"/>
              <w:rPr>
                <w:sz w:val="16"/>
                <w:szCs w:val="16"/>
              </w:rPr>
            </w:pPr>
            <w:r w:rsidRPr="00F32999">
              <w:rPr>
                <w:sz w:val="16"/>
                <w:szCs w:val="16"/>
              </w:rPr>
              <w:t>A pool of “dentistry related words” was constructed by translating English REALD-99 words into Arabic.</w:t>
            </w:r>
            <w:r w:rsidR="007C6A9A">
              <w:rPr>
                <w:sz w:val="16"/>
                <w:szCs w:val="16"/>
              </w:rPr>
              <w:t xml:space="preserve"> </w:t>
            </w:r>
            <w:r w:rsidRPr="00F32999">
              <w:rPr>
                <w:sz w:val="16"/>
                <w:szCs w:val="16"/>
              </w:rPr>
              <w:t>Along with the REALD-99, 14 item Oral Health Impact Profile (OHIP-14) [17] was translated and the Arabic version of REALD-99 (AREALD-99), AREALD-30 and A-OHIP-14 were obtained. Two bilingual dental professionals with Arabic as their native language independently translated English REALD-99 words and OHIP-14 into Arabic. Translators were instructed to aim at the conceptual equivalence of the words but not the literal translation. An expert panel was convened with three bilingual individuals (two of them were dental professionals) to resolve the discrepancies between the independently translated versions. In addition, an independent professional translator back-translated the Arabic version into English and no discrepancies existed between the original and back-translated English versions of AREALD-99 and A-OHIP-14. AREALD-99 and A-OHIP-14 questionnaire were pilot tested on a convenience sample of twenty patients visiting the dental clinics to assess face and content validity. The participants were queried about the difficulties in understanding the items and any changes required were done accordingly.</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Cruvinel</w:t>
            </w:r>
            <w:proofErr w:type="spellEnd"/>
            <w:r w:rsidRPr="00D46370">
              <w:rPr>
                <w:rFonts w:ascii="Calibri" w:eastAsia="Calibri" w:hAnsi="Calibri" w:cs="Arial"/>
              </w:rPr>
              <w:t xml:space="preserve"> et al.(2017)</w:t>
            </w:r>
          </w:p>
          <w:p w:rsidR="00155B5F" w:rsidRPr="00D46370" w:rsidRDefault="00155B5F" w:rsidP="007C6A9A">
            <w:pPr>
              <w:spacing w:line="240" w:lineRule="atLeast"/>
              <w:jc w:val="center"/>
              <w:rPr>
                <w:rFonts w:ascii="Calibri" w:eastAsia="Calibri" w:hAnsi="Calibri" w:cs="Arial"/>
              </w:rPr>
            </w:pPr>
          </w:p>
        </w:tc>
        <w:tc>
          <w:tcPr>
            <w:tcW w:w="946" w:type="pct"/>
            <w:vAlign w:val="center"/>
          </w:tcPr>
          <w:p w:rsidR="00155B5F" w:rsidRPr="00D3067E" w:rsidRDefault="00155B5F" w:rsidP="00155B5F">
            <w:pPr>
              <w:bidi/>
              <w:spacing w:before="240" w:line="360" w:lineRule="auto"/>
              <w:jc w:val="center"/>
              <w:rPr>
                <w:bCs/>
                <w:color w:val="000000"/>
                <w:sz w:val="16"/>
                <w:szCs w:val="16"/>
              </w:rPr>
            </w:pPr>
            <w:r w:rsidRPr="00D3067E">
              <w:rPr>
                <w:sz w:val="16"/>
                <w:szCs w:val="16"/>
              </w:rPr>
              <w:t>REALMD-20</w:t>
            </w:r>
          </w:p>
        </w:tc>
        <w:tc>
          <w:tcPr>
            <w:tcW w:w="2896" w:type="pct"/>
          </w:tcPr>
          <w:p w:rsidR="00155B5F" w:rsidRPr="00966D36" w:rsidRDefault="00155B5F" w:rsidP="00155B5F">
            <w:pPr>
              <w:spacing w:before="240" w:line="360" w:lineRule="auto"/>
              <w:rPr>
                <w:sz w:val="16"/>
                <w:szCs w:val="16"/>
              </w:rPr>
            </w:pPr>
            <w:r>
              <w:rPr>
                <w:sz w:val="16"/>
                <w:szCs w:val="16"/>
              </w:rPr>
              <w:t>T</w:t>
            </w:r>
            <w:r w:rsidRPr="00CB3777">
              <w:rPr>
                <w:sz w:val="16"/>
                <w:szCs w:val="16"/>
              </w:rPr>
              <w:t>he cross-cultural adaptation was performed through conceptual equivalence, verbatim translation, semantic, item and operational equivalence, and back translation.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
          <w:p w:rsidR="00155B5F" w:rsidRPr="00D46370" w:rsidRDefault="00155B5F" w:rsidP="007C6A9A">
            <w:pPr>
              <w:spacing w:line="240" w:lineRule="atLeast"/>
              <w:jc w:val="center"/>
              <w:rPr>
                <w:rFonts w:ascii="Calibri" w:eastAsia="Calibri" w:hAnsi="Calibri" w:cs="Arial"/>
              </w:rPr>
            </w:pPr>
            <w:proofErr w:type="spellStart"/>
            <w:r w:rsidRPr="00D46370">
              <w:rPr>
                <w:rFonts w:ascii="Calibri" w:eastAsia="Calibri" w:hAnsi="Calibri" w:cs="Arial"/>
              </w:rPr>
              <w:t>Bado</w:t>
            </w:r>
            <w:proofErr w:type="spellEnd"/>
            <w:r w:rsidRPr="00D46370">
              <w:rPr>
                <w:rFonts w:ascii="Calibri" w:eastAsia="Calibri" w:hAnsi="Calibri" w:cs="Arial"/>
              </w:rPr>
              <w:t xml:space="preserve"> et al.(2017)</w:t>
            </w:r>
          </w:p>
        </w:tc>
        <w:tc>
          <w:tcPr>
            <w:tcW w:w="946" w:type="pct"/>
            <w:vAlign w:val="center"/>
          </w:tcPr>
          <w:p w:rsidR="00155B5F" w:rsidRPr="00D3067E" w:rsidRDefault="00155B5F" w:rsidP="00155B5F">
            <w:pPr>
              <w:bidi/>
              <w:spacing w:before="240" w:line="360" w:lineRule="auto"/>
              <w:jc w:val="center"/>
              <w:rPr>
                <w:rFonts w:ascii="DfxhybAdvTTb5929f4c" w:hAnsi="DfxhybAdvTTb5929f4c"/>
                <w:bCs/>
                <w:color w:val="000000"/>
                <w:sz w:val="16"/>
                <w:szCs w:val="16"/>
              </w:rPr>
            </w:pPr>
            <w:r w:rsidRPr="00D3067E">
              <w:rPr>
                <w:sz w:val="16"/>
                <w:szCs w:val="16"/>
              </w:rPr>
              <w:t>OHLA-B</w:t>
            </w:r>
          </w:p>
        </w:tc>
        <w:tc>
          <w:tcPr>
            <w:tcW w:w="2896" w:type="pct"/>
          </w:tcPr>
          <w:p w:rsidR="00155B5F" w:rsidRDefault="00155B5F" w:rsidP="00155B5F">
            <w:pPr>
              <w:bidi/>
              <w:spacing w:before="240" w:line="360" w:lineRule="auto"/>
              <w:jc w:val="center"/>
              <w:rPr>
                <w:sz w:val="16"/>
                <w:szCs w:val="16"/>
              </w:rPr>
            </w:pPr>
            <w:r w:rsidRPr="00CB3777">
              <w:rPr>
                <w:sz w:val="16"/>
                <w:szCs w:val="16"/>
              </w:rPr>
              <w:t xml:space="preserve">The steps were: initial translation into Portuguese language by two Spanish teachers, </w:t>
            </w:r>
            <w:r w:rsidR="00372C1D" w:rsidRPr="00CB3777">
              <w:rPr>
                <w:sz w:val="16"/>
                <w:szCs w:val="16"/>
              </w:rPr>
              <w:t>back translation</w:t>
            </w:r>
            <w:r w:rsidRPr="00CB3777">
              <w:rPr>
                <w:sz w:val="16"/>
                <w:szCs w:val="16"/>
              </w:rPr>
              <w:t xml:space="preserve"> into Spanish by two native Spanish speaking, review by the committee, and pre-test. For the pre-test of cross-cultural adaptation, the alternative "did not understand" was added to each item of the tool. The instrument was applied to a sample of 20 adults. Results: In the initial translation, some differences were observed between the translated versions, and after the committee had reviewed these versions, a few words </w:t>
            </w:r>
            <w:r w:rsidRPr="00CB3777">
              <w:rPr>
                <w:sz w:val="16"/>
                <w:szCs w:val="16"/>
              </w:rPr>
              <w:lastRenderedPageBreak/>
              <w:t>were replaced by other synonyms to enable better understanding of the instrument by the population. When the back-translation was compared with the original version, the results were very satisfactory and there was no need to make any further change or replacement. In the pre-test, the version of the tool Oral Health Literacy Assessment-Brazilian (OHLA-B) was very well understood by the studied population and there was no need for other cultural adaptations</w:t>
            </w:r>
            <w:r w:rsidRPr="00CB3777">
              <w:rPr>
                <w:sz w:val="16"/>
                <w:szCs w:val="16"/>
                <w:rtl/>
              </w:rPr>
              <w:t>.</w:t>
            </w:r>
          </w:p>
        </w:tc>
      </w:tr>
      <w:tr w:rsidR="00155B5F" w:rsidRPr="00D3067E" w:rsidTr="007C6A9A">
        <w:trPr>
          <w:trHeight w:val="503"/>
        </w:trPr>
        <w:tc>
          <w:tcPr>
            <w:tcW w:w="1158" w:type="pct"/>
            <w:vAlign w:val="center"/>
          </w:tcPr>
          <w:p w:rsidR="00155B5F" w:rsidRPr="00D46370" w:rsidRDefault="00155B5F" w:rsidP="007C6A9A">
            <w:pPr>
              <w:spacing w:line="240" w:lineRule="atLeast"/>
              <w:jc w:val="center"/>
              <w:rPr>
                <w:rFonts w:ascii="Calibri" w:eastAsia="Calibri" w:hAnsi="Calibri" w:cs="Arial"/>
              </w:rPr>
            </w:pPr>
            <w:r w:rsidRPr="00D46370">
              <w:rPr>
                <w:rFonts w:ascii="Calibri" w:eastAsia="Calibri" w:hAnsi="Calibri" w:cs="Arial"/>
              </w:rPr>
              <w:lastRenderedPageBreak/>
              <w:t>Sistani et al.(2013)</w:t>
            </w:r>
          </w:p>
        </w:tc>
        <w:tc>
          <w:tcPr>
            <w:tcW w:w="946" w:type="pct"/>
            <w:vAlign w:val="center"/>
          </w:tcPr>
          <w:p w:rsidR="00155B5F" w:rsidRPr="00D3067E" w:rsidRDefault="00155B5F" w:rsidP="00155B5F">
            <w:pPr>
              <w:spacing w:before="240" w:line="360" w:lineRule="auto"/>
              <w:jc w:val="center"/>
              <w:rPr>
                <w:bCs/>
                <w:color w:val="000000"/>
                <w:sz w:val="16"/>
                <w:szCs w:val="16"/>
              </w:rPr>
            </w:pPr>
            <w:r w:rsidRPr="00D3067E">
              <w:rPr>
                <w:sz w:val="16"/>
                <w:szCs w:val="16"/>
              </w:rPr>
              <w:t>OHL-AQ</w:t>
            </w:r>
          </w:p>
        </w:tc>
        <w:tc>
          <w:tcPr>
            <w:tcW w:w="2896" w:type="pct"/>
          </w:tcPr>
          <w:p w:rsidR="00155B5F" w:rsidRDefault="00372C1D" w:rsidP="00492399">
            <w:pPr>
              <w:spacing w:before="240" w:line="360" w:lineRule="auto"/>
              <w:jc w:val="center"/>
              <w:rPr>
                <w:sz w:val="16"/>
                <w:szCs w:val="16"/>
              </w:rPr>
            </w:pPr>
            <w:r>
              <w:rPr>
                <w:sz w:val="16"/>
                <w:szCs w:val="16"/>
              </w:rPr>
              <w:t>U</w:t>
            </w:r>
            <w:r w:rsidRPr="007C6A9A">
              <w:rPr>
                <w:sz w:val="16"/>
                <w:szCs w:val="16"/>
              </w:rPr>
              <w:t>nknown</w:t>
            </w:r>
          </w:p>
        </w:tc>
      </w:tr>
      <w:tr w:rsidR="00155B5F" w:rsidRPr="00D3067E" w:rsidTr="007C6A9A">
        <w:trPr>
          <w:trHeight w:val="926"/>
        </w:trPr>
        <w:tc>
          <w:tcPr>
            <w:tcW w:w="1158" w:type="pct"/>
            <w:vAlign w:val="center"/>
          </w:tcPr>
          <w:p w:rsidR="00155B5F" w:rsidRPr="00D46370" w:rsidRDefault="00155B5F" w:rsidP="007C6A9A">
            <w:pPr>
              <w:spacing w:line="240" w:lineRule="atLeast"/>
              <w:jc w:val="center"/>
              <w:rPr>
                <w:rFonts w:ascii="Calibri" w:eastAsia="Calibri" w:hAnsi="Calibri" w:cs="Arial"/>
              </w:rPr>
            </w:pPr>
            <w:proofErr w:type="spellStart"/>
            <w:r w:rsidRPr="00B476A4">
              <w:rPr>
                <w:bCs/>
                <w:color w:val="000000"/>
                <w:sz w:val="18"/>
                <w:szCs w:val="18"/>
              </w:rPr>
              <w:t>Cartes-Velasquez</w:t>
            </w:r>
            <w:r>
              <w:rPr>
                <w:bCs/>
                <w:color w:val="000000"/>
                <w:sz w:val="18"/>
                <w:szCs w:val="18"/>
              </w:rPr>
              <w:t>et</w:t>
            </w:r>
            <w:proofErr w:type="spellEnd"/>
            <w:r>
              <w:rPr>
                <w:bCs/>
                <w:color w:val="000000"/>
                <w:sz w:val="18"/>
                <w:szCs w:val="18"/>
              </w:rPr>
              <w:t xml:space="preserve">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OHLI-cl</w:t>
            </w:r>
          </w:p>
          <w:p w:rsidR="00155B5F" w:rsidRPr="00D3067E" w:rsidRDefault="00155B5F" w:rsidP="00155B5F">
            <w:pPr>
              <w:spacing w:before="240" w:line="360" w:lineRule="auto"/>
              <w:jc w:val="center"/>
              <w:rPr>
                <w:sz w:val="16"/>
                <w:szCs w:val="16"/>
              </w:rPr>
            </w:pPr>
          </w:p>
        </w:tc>
        <w:tc>
          <w:tcPr>
            <w:tcW w:w="2896" w:type="pct"/>
          </w:tcPr>
          <w:p w:rsidR="00155B5F" w:rsidRDefault="00155B5F" w:rsidP="00155B5F">
            <w:pPr>
              <w:spacing w:before="240" w:line="360" w:lineRule="auto"/>
              <w:jc w:val="center"/>
              <w:rPr>
                <w:sz w:val="16"/>
                <w:szCs w:val="16"/>
              </w:rPr>
            </w:pPr>
            <w:r w:rsidRPr="00CB3777">
              <w:rPr>
                <w:sz w:val="16"/>
                <w:szCs w:val="16"/>
              </w:rPr>
              <w:t>The process of translation and adaptation was performed according to Beaton et al.21 and Sousa and Rojjanasrirat22. Two native Spanish language professionals proficient in English translated the English version of the OHLI independently. The versions were named TL1 (translation carried out by a dentist) and TL2 (translation carried out by a professional translator without a dental background). Later, a consensus between TL1 and TL2, guided by a third bilingual professional (a dentist), was achieved. The translated version was back-translated by the same method in reverse, generating BT1, BT2 and BT3, respectively. Subsequently, four experts in dental public health reviewed the process for obtaining a preliminary version of the Chilean version of OHLI (OHLI-cl). The whole process was recorded in ad hoc proceedings that were sent, for feedback, to the team who developed the OHLI.</w:t>
            </w:r>
          </w:p>
        </w:tc>
      </w:tr>
      <w:tr w:rsidR="00155B5F" w:rsidRPr="00D3067E" w:rsidTr="007C6A9A">
        <w:trPr>
          <w:trHeight w:val="926"/>
        </w:trPr>
        <w:tc>
          <w:tcPr>
            <w:tcW w:w="1158" w:type="pct"/>
            <w:vAlign w:val="center"/>
          </w:tcPr>
          <w:p w:rsidR="00155B5F" w:rsidRPr="00B476A4" w:rsidRDefault="00155B5F" w:rsidP="007C6A9A">
            <w:pPr>
              <w:spacing w:before="240" w:line="240" w:lineRule="atLeast"/>
              <w:jc w:val="center"/>
              <w:rPr>
                <w:bCs/>
                <w:color w:val="000000"/>
                <w:sz w:val="18"/>
                <w:szCs w:val="18"/>
              </w:rPr>
            </w:pPr>
            <w:proofErr w:type="spellStart"/>
            <w:r w:rsidRPr="00B476A4">
              <w:rPr>
                <w:bCs/>
                <w:color w:val="000000"/>
                <w:sz w:val="18"/>
                <w:szCs w:val="18"/>
              </w:rPr>
              <w:t>Cartes</w:t>
            </w:r>
            <w:proofErr w:type="spellEnd"/>
            <w:r w:rsidRPr="00B476A4">
              <w:rPr>
                <w:bCs/>
                <w:color w:val="000000"/>
                <w:sz w:val="18"/>
                <w:szCs w:val="18"/>
              </w:rPr>
              <w:t>-Velasquez et al.</w:t>
            </w:r>
          </w:p>
          <w:p w:rsidR="00155B5F" w:rsidRPr="00D46370" w:rsidRDefault="00155B5F" w:rsidP="007C6A9A">
            <w:pPr>
              <w:spacing w:line="240" w:lineRule="atLeast"/>
              <w:jc w:val="center"/>
              <w:rPr>
                <w:rFonts w:ascii="Calibri" w:eastAsia="Calibri" w:hAnsi="Calibri" w:cs="Arial"/>
              </w:rPr>
            </w:pP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Span-REALD-30</w:t>
            </w:r>
          </w:p>
          <w:p w:rsidR="00155B5F" w:rsidRPr="00D3067E" w:rsidRDefault="00155B5F" w:rsidP="00155B5F">
            <w:pPr>
              <w:spacing w:before="240" w:line="360" w:lineRule="auto"/>
              <w:jc w:val="center"/>
              <w:rPr>
                <w:sz w:val="16"/>
                <w:szCs w:val="16"/>
              </w:rPr>
            </w:pPr>
          </w:p>
        </w:tc>
        <w:tc>
          <w:tcPr>
            <w:tcW w:w="2896" w:type="pct"/>
          </w:tcPr>
          <w:p w:rsidR="00155B5F" w:rsidRDefault="00155B5F" w:rsidP="00155B5F">
            <w:pPr>
              <w:spacing w:before="240" w:line="360" w:lineRule="auto"/>
              <w:rPr>
                <w:sz w:val="16"/>
                <w:szCs w:val="16"/>
              </w:rPr>
            </w:pPr>
            <w:r w:rsidRPr="00CB3777">
              <w:rPr>
                <w:sz w:val="16"/>
                <w:szCs w:val="16"/>
              </w:rPr>
              <w:t>Two native Spanish-language professionals proficient in</w:t>
            </w:r>
            <w:r>
              <w:rPr>
                <w:sz w:val="16"/>
                <w:szCs w:val="16"/>
              </w:rPr>
              <w:t xml:space="preserve"> </w:t>
            </w:r>
            <w:r w:rsidRPr="00CB3777">
              <w:rPr>
                <w:sz w:val="16"/>
                <w:szCs w:val="16"/>
              </w:rPr>
              <w:t>English (a dentist and a professional translator) translated the REALD-30 independently. Later, a consensus guided by a third bilingual professional (dentist) was performed. A final evaluation by four experts in dental public health was made.</w:t>
            </w:r>
          </w:p>
        </w:tc>
      </w:tr>
      <w:tr w:rsidR="00155B5F" w:rsidRPr="00D3067E" w:rsidTr="007C6A9A">
        <w:trPr>
          <w:trHeight w:val="926"/>
        </w:trPr>
        <w:tc>
          <w:tcPr>
            <w:tcW w:w="1158" w:type="pct"/>
            <w:vAlign w:val="center"/>
          </w:tcPr>
          <w:p w:rsidR="00155B5F" w:rsidRPr="00D46370" w:rsidRDefault="00155B5F" w:rsidP="007C6A9A">
            <w:pPr>
              <w:spacing w:before="240" w:line="240" w:lineRule="atLeast"/>
              <w:jc w:val="center"/>
              <w:rPr>
                <w:rFonts w:ascii="Calibri" w:eastAsia="Calibri" w:hAnsi="Calibri" w:cs="Arial"/>
              </w:rPr>
            </w:pPr>
            <w:proofErr w:type="spellStart"/>
            <w:r w:rsidRPr="00B476A4">
              <w:rPr>
                <w:bCs/>
                <w:color w:val="000000"/>
                <w:sz w:val="18"/>
                <w:szCs w:val="18"/>
              </w:rPr>
              <w:t>Pakpour</w:t>
            </w:r>
            <w:proofErr w:type="spellEnd"/>
            <w:r w:rsidRPr="00B476A4">
              <w:rPr>
                <w:bCs/>
                <w:color w:val="000000"/>
                <w:sz w:val="18"/>
                <w:szCs w:val="18"/>
              </w:rPr>
              <w:t xml:space="preserve"> et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IREALD-99</w:t>
            </w:r>
          </w:p>
          <w:p w:rsidR="00155B5F" w:rsidRPr="00D3067E" w:rsidRDefault="00155B5F" w:rsidP="00155B5F">
            <w:pPr>
              <w:spacing w:before="240" w:line="360" w:lineRule="auto"/>
              <w:jc w:val="center"/>
              <w:rPr>
                <w:sz w:val="16"/>
                <w:szCs w:val="16"/>
              </w:rPr>
            </w:pPr>
          </w:p>
        </w:tc>
        <w:tc>
          <w:tcPr>
            <w:tcW w:w="2896" w:type="pct"/>
          </w:tcPr>
          <w:p w:rsidR="00155B5F" w:rsidRDefault="00155B5F" w:rsidP="007C6A9A">
            <w:pPr>
              <w:spacing w:before="240" w:line="360" w:lineRule="auto"/>
              <w:jc w:val="center"/>
              <w:rPr>
                <w:sz w:val="16"/>
                <w:szCs w:val="16"/>
              </w:rPr>
            </w:pPr>
            <w:r w:rsidRPr="00CB3777">
              <w:rPr>
                <w:sz w:val="16"/>
                <w:szCs w:val="16"/>
              </w:rPr>
              <w:t>The aim of the translation procedure was to create a translated version in the Persian language that is both conceptually equivalent to the original and easily understood by Iranian people. A forward–backward approach was performed to translate and adapt the IREALD-99 into the Persian language. For the first step, two translators independently translated the questionnaire into Persian.</w:t>
            </w:r>
            <w:r w:rsidR="007C6A9A">
              <w:rPr>
                <w:sz w:val="16"/>
                <w:szCs w:val="16"/>
              </w:rPr>
              <w:t xml:space="preserve"> </w:t>
            </w:r>
            <w:r w:rsidRPr="00CB3777">
              <w:rPr>
                <w:sz w:val="16"/>
                <w:szCs w:val="16"/>
              </w:rPr>
              <w:t>Afterwards, the project manager (AP) compared the translations and reconciled discrepancies. Two translators, who were native English speakers and were fluent in the Persian language, independently translated the interim Persian version into English. The translators were not aware of the English original version. The project manager (AP) compared the English translations with the original questionnaire and reconciled discrepancies. The Persian language was piloted on 12 adults to identify and solve any potential problems in translation (e.g. wording).</w:t>
            </w:r>
          </w:p>
        </w:tc>
      </w:tr>
      <w:tr w:rsidR="00155B5F" w:rsidRPr="00D3067E" w:rsidTr="00E45384">
        <w:trPr>
          <w:trHeight w:val="737"/>
        </w:trPr>
        <w:tc>
          <w:tcPr>
            <w:tcW w:w="1158" w:type="pct"/>
            <w:vAlign w:val="center"/>
          </w:tcPr>
          <w:p w:rsidR="00155B5F" w:rsidRPr="00D46370" w:rsidRDefault="00155B5F" w:rsidP="007C6A9A">
            <w:pPr>
              <w:spacing w:before="240" w:line="240" w:lineRule="atLeast"/>
              <w:jc w:val="center"/>
              <w:rPr>
                <w:rFonts w:ascii="Calibri" w:eastAsia="Calibri" w:hAnsi="Calibri" w:cs="Arial"/>
              </w:rPr>
            </w:pPr>
            <w:r w:rsidRPr="00B476A4">
              <w:rPr>
                <w:bCs/>
                <w:color w:val="000000"/>
                <w:sz w:val="18"/>
                <w:szCs w:val="18"/>
              </w:rPr>
              <w:t>Atchison et al.</w:t>
            </w:r>
          </w:p>
        </w:tc>
        <w:tc>
          <w:tcPr>
            <w:tcW w:w="946" w:type="pct"/>
            <w:vAlign w:val="center"/>
          </w:tcPr>
          <w:p w:rsidR="00155B5F" w:rsidRPr="00D3067E" w:rsidRDefault="00155B5F" w:rsidP="00155B5F">
            <w:pPr>
              <w:spacing w:before="240" w:line="360" w:lineRule="auto"/>
              <w:jc w:val="center"/>
              <w:rPr>
                <w:sz w:val="16"/>
                <w:szCs w:val="16"/>
              </w:rPr>
            </w:pPr>
            <w:r w:rsidRPr="00D3067E">
              <w:rPr>
                <w:sz w:val="16"/>
                <w:szCs w:val="16"/>
              </w:rPr>
              <w:t>REALM-D</w:t>
            </w:r>
          </w:p>
          <w:p w:rsidR="00155B5F" w:rsidRPr="00D3067E" w:rsidRDefault="00155B5F" w:rsidP="00155B5F">
            <w:pPr>
              <w:spacing w:before="240" w:line="360" w:lineRule="auto"/>
              <w:jc w:val="center"/>
              <w:rPr>
                <w:sz w:val="16"/>
                <w:szCs w:val="16"/>
              </w:rPr>
            </w:pPr>
          </w:p>
        </w:tc>
        <w:tc>
          <w:tcPr>
            <w:tcW w:w="2896" w:type="pct"/>
          </w:tcPr>
          <w:p w:rsidR="00155B5F" w:rsidRDefault="00372C1D" w:rsidP="00492399">
            <w:pPr>
              <w:spacing w:before="240" w:line="360" w:lineRule="auto"/>
              <w:jc w:val="center"/>
              <w:rPr>
                <w:sz w:val="16"/>
                <w:szCs w:val="16"/>
              </w:rPr>
            </w:pPr>
            <w:r>
              <w:rPr>
                <w:sz w:val="16"/>
                <w:szCs w:val="16"/>
              </w:rPr>
              <w:t>U</w:t>
            </w:r>
            <w:r w:rsidRPr="007C6A9A">
              <w:rPr>
                <w:sz w:val="16"/>
                <w:szCs w:val="16"/>
              </w:rPr>
              <w:t>nknown</w:t>
            </w:r>
          </w:p>
        </w:tc>
      </w:tr>
    </w:tbl>
    <w:p w:rsidR="00082E94" w:rsidRDefault="00082E94"/>
    <w:sectPr w:rsidR="00082E94" w:rsidSect="00EF437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engXian">
    <w:altName w:val="等线"/>
    <w:panose1 w:val="02010600030101010101"/>
    <w:charset w:val="8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DfxhybAdvTTb5929f4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ED2"/>
    <w:rsid w:val="00004F86"/>
    <w:rsid w:val="00054199"/>
    <w:rsid w:val="00082E94"/>
    <w:rsid w:val="00107779"/>
    <w:rsid w:val="00155B5F"/>
    <w:rsid w:val="001A62CE"/>
    <w:rsid w:val="001B36D9"/>
    <w:rsid w:val="001F39CC"/>
    <w:rsid w:val="002F2176"/>
    <w:rsid w:val="003271EB"/>
    <w:rsid w:val="00344536"/>
    <w:rsid w:val="00372C1D"/>
    <w:rsid w:val="003A480A"/>
    <w:rsid w:val="003B6158"/>
    <w:rsid w:val="003D06C9"/>
    <w:rsid w:val="003F70EE"/>
    <w:rsid w:val="00427DCC"/>
    <w:rsid w:val="00492399"/>
    <w:rsid w:val="0051097B"/>
    <w:rsid w:val="005D59F1"/>
    <w:rsid w:val="006A4D60"/>
    <w:rsid w:val="00733B7E"/>
    <w:rsid w:val="00747DFD"/>
    <w:rsid w:val="00787495"/>
    <w:rsid w:val="007C6A9A"/>
    <w:rsid w:val="00896E59"/>
    <w:rsid w:val="008F5CF9"/>
    <w:rsid w:val="00944C83"/>
    <w:rsid w:val="00966D36"/>
    <w:rsid w:val="00A625BA"/>
    <w:rsid w:val="00AF402D"/>
    <w:rsid w:val="00B52D8E"/>
    <w:rsid w:val="00B554F3"/>
    <w:rsid w:val="00BA5918"/>
    <w:rsid w:val="00BC3C32"/>
    <w:rsid w:val="00BE6587"/>
    <w:rsid w:val="00CB3777"/>
    <w:rsid w:val="00CF3E48"/>
    <w:rsid w:val="00D3067E"/>
    <w:rsid w:val="00DA1DBB"/>
    <w:rsid w:val="00DD2623"/>
    <w:rsid w:val="00E26A1F"/>
    <w:rsid w:val="00E45384"/>
    <w:rsid w:val="00EF437F"/>
    <w:rsid w:val="00F169F2"/>
    <w:rsid w:val="00F2371D"/>
    <w:rsid w:val="00F32999"/>
    <w:rsid w:val="00F703C0"/>
    <w:rsid w:val="00F77ED2"/>
    <w:rsid w:val="00FB686E"/>
    <w:rsid w:val="00FC39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553F3"/>
  <w15:docId w15:val="{D3555E99-B94C-4D51-8642-B47181BE5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F437F"/>
    <w:pPr>
      <w:spacing w:after="0" w:line="240" w:lineRule="auto"/>
    </w:pPr>
    <w:rPr>
      <w:rFonts w:ascii="Times New Roman" w:eastAsia="Times New Roman" w:hAnsi="Times New Roman" w:cs="Times New Roman"/>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271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2511F-2C49-4558-A434-F02EDB94E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17</Pages>
  <Words>4364</Words>
  <Characters>24880</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dc:creator>
  <cp:keywords/>
  <dc:description/>
  <cp:lastModifiedBy>ali</cp:lastModifiedBy>
  <cp:revision>58</cp:revision>
  <dcterms:created xsi:type="dcterms:W3CDTF">2019-07-04T23:23:00Z</dcterms:created>
  <dcterms:modified xsi:type="dcterms:W3CDTF">2020-01-18T12:49:00Z</dcterms:modified>
</cp:coreProperties>
</file>